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61DBD" w14:textId="728C299C" w:rsidR="00A02A31" w:rsidRPr="00407B5E" w:rsidRDefault="00A02A31" w:rsidP="00A02A31">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19B5E71F" w14:textId="73BDC2C6" w:rsidR="008B4BE6" w:rsidRPr="00407B5E"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407B5E">
        <w:rPr>
          <w:b/>
          <w:sz w:val="24"/>
          <w:szCs w:val="24"/>
          <w:lang w:val="ro-RO"/>
        </w:rPr>
        <w:t>NOTA</w:t>
      </w:r>
      <w:r w:rsidR="00032B46" w:rsidRPr="00407B5E">
        <w:rPr>
          <w:b/>
          <w:sz w:val="24"/>
          <w:szCs w:val="24"/>
          <w:lang w:val="ro-RO"/>
        </w:rPr>
        <w:t xml:space="preserve"> </w:t>
      </w:r>
      <w:r w:rsidRPr="00407B5E">
        <w:rPr>
          <w:b/>
          <w:sz w:val="24"/>
          <w:szCs w:val="24"/>
          <w:lang w:val="ro-RO"/>
        </w:rPr>
        <w:t>DE</w:t>
      </w:r>
      <w:r w:rsidR="00032B46" w:rsidRPr="00407B5E">
        <w:rPr>
          <w:b/>
          <w:sz w:val="24"/>
          <w:szCs w:val="24"/>
          <w:lang w:val="ro-RO"/>
        </w:rPr>
        <w:t xml:space="preserve"> </w:t>
      </w:r>
      <w:r w:rsidRPr="00407B5E">
        <w:rPr>
          <w:b/>
          <w:sz w:val="24"/>
          <w:szCs w:val="24"/>
          <w:lang w:val="ro-RO"/>
        </w:rPr>
        <w:t>FUNDAMENTARE</w:t>
      </w:r>
    </w:p>
    <w:p w14:paraId="24C93905" w14:textId="77777777" w:rsidR="008F718B" w:rsidRPr="00407B5E" w:rsidRDefault="008F718B"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p>
    <w:p w14:paraId="116A01F4" w14:textId="307E6554" w:rsidR="00C36F53" w:rsidRPr="00407B5E" w:rsidRDefault="006933C3" w:rsidP="00EF7E8F">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MD"/>
        </w:rPr>
      </w:pPr>
      <w:r w:rsidRPr="00407B5E">
        <w:rPr>
          <w:b/>
          <w:sz w:val="24"/>
          <w:szCs w:val="24"/>
          <w:lang w:val="ro-RO"/>
        </w:rPr>
        <w:t>la</w:t>
      </w:r>
      <w:r w:rsidR="00032B46" w:rsidRPr="00407B5E">
        <w:rPr>
          <w:b/>
          <w:sz w:val="24"/>
          <w:szCs w:val="24"/>
          <w:lang w:val="ro-RO"/>
        </w:rPr>
        <w:t xml:space="preserve"> </w:t>
      </w:r>
      <w:r w:rsidRPr="00407B5E">
        <w:rPr>
          <w:b/>
          <w:sz w:val="24"/>
          <w:szCs w:val="24"/>
          <w:lang w:val="ro-RO"/>
        </w:rPr>
        <w:t>proiectul</w:t>
      </w:r>
      <w:r w:rsidR="00C36F53" w:rsidRPr="00407B5E">
        <w:rPr>
          <w:b/>
          <w:sz w:val="24"/>
          <w:szCs w:val="24"/>
          <w:lang w:val="ro-RO"/>
        </w:rPr>
        <w:t xml:space="preserve"> </w:t>
      </w:r>
      <w:r w:rsidR="00EF7E8F">
        <w:rPr>
          <w:b/>
          <w:sz w:val="24"/>
          <w:szCs w:val="24"/>
          <w:lang w:val="ro-RO"/>
        </w:rPr>
        <w:t>Hotărârii Consiliului de administrație al ANRE</w:t>
      </w:r>
      <w:r w:rsidR="00C36F53" w:rsidRPr="00407B5E">
        <w:rPr>
          <w:b/>
          <w:sz w:val="24"/>
          <w:szCs w:val="24"/>
          <w:lang w:val="ro-RO"/>
        </w:rPr>
        <w:t xml:space="preserve"> cu privire la modificarea </w:t>
      </w:r>
      <w:r w:rsidR="0035146D" w:rsidRPr="00407B5E">
        <w:rPr>
          <w:b/>
          <w:sz w:val="24"/>
          <w:szCs w:val="24"/>
          <w:lang w:val="ro-RO"/>
        </w:rPr>
        <w:t xml:space="preserve">Metodologiei de calculare, aprobare și aplicare a prețurilor reglementate pentru </w:t>
      </w:r>
      <w:r w:rsidR="00C36F53" w:rsidRPr="00407B5E">
        <w:rPr>
          <w:b/>
          <w:bCs/>
          <w:sz w:val="24"/>
          <w:szCs w:val="24"/>
          <w:lang w:val="ro-MD"/>
        </w:rPr>
        <w:t>energia</w:t>
      </w:r>
      <w:r w:rsidR="00EF7E8F">
        <w:rPr>
          <w:b/>
          <w:bCs/>
          <w:sz w:val="24"/>
          <w:szCs w:val="24"/>
          <w:lang w:val="ro-MD"/>
        </w:rPr>
        <w:t xml:space="preserve"> </w:t>
      </w:r>
      <w:r w:rsidR="00C36F53" w:rsidRPr="00407B5E">
        <w:rPr>
          <w:b/>
          <w:bCs/>
          <w:sz w:val="24"/>
          <w:szCs w:val="24"/>
          <w:lang w:val="ro-MD"/>
        </w:rPr>
        <w:t>electrică furnizată de</w:t>
      </w:r>
      <w:r w:rsidR="00EF7E8F">
        <w:rPr>
          <w:b/>
          <w:bCs/>
          <w:sz w:val="24"/>
          <w:szCs w:val="24"/>
          <w:lang w:val="ro-MD"/>
        </w:rPr>
        <w:t xml:space="preserve"> </w:t>
      </w:r>
      <w:r w:rsidR="00C36F53" w:rsidRPr="00407B5E">
        <w:rPr>
          <w:b/>
          <w:bCs/>
          <w:sz w:val="24"/>
          <w:szCs w:val="24"/>
          <w:lang w:val="ro-MD"/>
        </w:rPr>
        <w:t>furnizorul central de energie electrică</w:t>
      </w:r>
      <w:r w:rsidR="00EF7E8F">
        <w:rPr>
          <w:b/>
          <w:bCs/>
          <w:sz w:val="24"/>
          <w:szCs w:val="24"/>
          <w:lang w:val="ro-MD"/>
        </w:rPr>
        <w:t xml:space="preserve">, aprobată prin </w:t>
      </w:r>
      <w:r w:rsidR="00EF7E8F">
        <w:rPr>
          <w:b/>
          <w:sz w:val="24"/>
          <w:szCs w:val="24"/>
          <w:lang w:val="ro-RO"/>
        </w:rPr>
        <w:t>Hotărârea Consiliului de administrație al ANRE nr. 483/2017</w:t>
      </w:r>
    </w:p>
    <w:p w14:paraId="581CF8BF" w14:textId="0A47ED7B" w:rsidR="008B4BE6" w:rsidRPr="00407B5E" w:rsidRDefault="00032B46"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407B5E">
        <w:rPr>
          <w:i/>
          <w:sz w:val="24"/>
          <w:szCs w:val="24"/>
          <w:vertAlign w:val="superscript"/>
          <w:lang w:val="ro-RO"/>
        </w:rPr>
        <w:t xml:space="preserve">                            </w:t>
      </w:r>
    </w:p>
    <w:tbl>
      <w:tblPr>
        <w:tblStyle w:val="afa"/>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407B5E" w:rsidRPr="00407B5E"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407B5E" w:rsidRDefault="0036135C" w:rsidP="002721D2">
            <w:pPr>
              <w:rPr>
                <w:rFonts w:ascii="Times New Roman" w:hAnsi="Times New Roman"/>
                <w:b/>
                <w:bCs/>
                <w:sz w:val="24"/>
                <w:szCs w:val="24"/>
                <w:lang w:val="ro-RO"/>
              </w:rPr>
            </w:pPr>
            <w:r w:rsidRPr="00407B5E">
              <w:rPr>
                <w:rFonts w:ascii="Times New Roman" w:hAnsi="Times New Roman"/>
                <w:b/>
                <w:bCs/>
                <w:sz w:val="24"/>
                <w:szCs w:val="24"/>
                <w:lang w:val="ro-RO"/>
              </w:rPr>
              <w:t>1.</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Denumirea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sau</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numele</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autorului</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006933C3"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după</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caz,</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w:t>
            </w:r>
            <w:r w:rsidR="00E94FA8" w:rsidRPr="00407B5E">
              <w:rPr>
                <w:rFonts w:ascii="Times New Roman" w:hAnsi="Times New Roman"/>
                <w:b/>
                <w:bCs/>
                <w:sz w:val="24"/>
                <w:szCs w:val="24"/>
                <w:lang w:val="ro-RO"/>
              </w:rPr>
              <w:t>/al</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participan</w:t>
            </w:r>
            <w:r w:rsidR="00863417" w:rsidRPr="00407B5E">
              <w:rPr>
                <w:rFonts w:ascii="Times New Roman" w:hAnsi="Times New Roman"/>
                <w:b/>
                <w:bCs/>
                <w:sz w:val="24"/>
                <w:szCs w:val="24"/>
                <w:lang w:val="ro-RO"/>
              </w:rPr>
              <w:t>ț</w:t>
            </w:r>
            <w:r w:rsidR="006933C3" w:rsidRPr="00407B5E">
              <w:rPr>
                <w:rFonts w:ascii="Times New Roman" w:hAnsi="Times New Roman"/>
                <w:b/>
                <w:bCs/>
                <w:sz w:val="24"/>
                <w:szCs w:val="24"/>
                <w:lang w:val="ro-RO"/>
              </w:rPr>
              <w:t>ilor</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la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006933C3" w:rsidRPr="00407B5E">
              <w:rPr>
                <w:rFonts w:ascii="Times New Roman" w:hAnsi="Times New Roman"/>
                <w:b/>
                <w:bCs/>
                <w:sz w:val="24"/>
                <w:szCs w:val="24"/>
                <w:lang w:val="ro-RO"/>
              </w:rPr>
              <w:t>normativ</w:t>
            </w:r>
          </w:p>
        </w:tc>
      </w:tr>
      <w:tr w:rsidR="00407B5E" w:rsidRPr="00407B5E"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5D89FA3" w:rsidR="00E54580" w:rsidRPr="00407B5E" w:rsidRDefault="00E54580" w:rsidP="00386C34">
            <w:pPr>
              <w:rPr>
                <w:rFonts w:ascii="Times New Roman" w:hAnsi="Times New Roman"/>
                <w:sz w:val="24"/>
                <w:szCs w:val="24"/>
                <w:lang w:val="ro-RO"/>
              </w:rPr>
            </w:pPr>
            <w:r w:rsidRPr="00407B5E">
              <w:rPr>
                <w:rFonts w:ascii="Times New Roman" w:eastAsia="Times New Roman" w:hAnsi="Times New Roman"/>
                <w:sz w:val="24"/>
                <w:szCs w:val="24"/>
                <w:lang w:val="ro-MD"/>
              </w:rPr>
              <w:t xml:space="preserve">Agenția Națională pentru Reglementare în Energetică </w:t>
            </w:r>
            <w:r w:rsidRPr="00407B5E">
              <w:rPr>
                <w:rFonts w:ascii="Times New Roman" w:hAnsi="Times New Roman"/>
                <w:i/>
                <w:sz w:val="24"/>
                <w:szCs w:val="24"/>
                <w:lang w:val="ro-MD"/>
              </w:rPr>
              <w:t>(</w:t>
            </w:r>
            <w:r w:rsidR="0019436F" w:rsidRPr="00407B5E">
              <w:rPr>
                <w:rFonts w:ascii="Times New Roman" w:hAnsi="Times New Roman"/>
                <w:i/>
                <w:sz w:val="24"/>
                <w:szCs w:val="24"/>
                <w:lang w:val="ro-MD"/>
              </w:rPr>
              <w:t>în continuare</w:t>
            </w:r>
            <w:r w:rsidR="0050720D" w:rsidRPr="00407B5E">
              <w:rPr>
                <w:rFonts w:ascii="Times New Roman" w:hAnsi="Times New Roman"/>
                <w:i/>
                <w:sz w:val="24"/>
                <w:szCs w:val="24"/>
                <w:lang w:val="ro-MD"/>
              </w:rPr>
              <w:t xml:space="preserve"> –</w:t>
            </w:r>
            <w:r w:rsidR="00386C34" w:rsidRPr="00407B5E">
              <w:rPr>
                <w:rFonts w:ascii="Times New Roman" w:hAnsi="Times New Roman"/>
                <w:i/>
                <w:sz w:val="24"/>
                <w:szCs w:val="24"/>
                <w:lang w:val="ro-MD"/>
              </w:rPr>
              <w:t xml:space="preserve"> </w:t>
            </w:r>
            <w:r w:rsidR="0019436F" w:rsidRPr="00407B5E">
              <w:rPr>
                <w:rFonts w:ascii="Times New Roman" w:hAnsi="Times New Roman"/>
                <w:i/>
                <w:sz w:val="24"/>
                <w:szCs w:val="24"/>
                <w:lang w:val="ro-MD"/>
              </w:rPr>
              <w:t>Agenția /</w:t>
            </w:r>
            <w:r w:rsidRPr="00407B5E">
              <w:rPr>
                <w:rFonts w:ascii="Times New Roman" w:hAnsi="Times New Roman"/>
                <w:i/>
                <w:sz w:val="24"/>
                <w:szCs w:val="24"/>
                <w:lang w:val="ro-MD"/>
              </w:rPr>
              <w:t>ANRE)</w:t>
            </w:r>
            <w:r w:rsidRPr="00407B5E">
              <w:rPr>
                <w:rFonts w:ascii="Times New Roman" w:eastAsia="Times New Roman" w:hAnsi="Times New Roman"/>
                <w:sz w:val="24"/>
                <w:szCs w:val="24"/>
                <w:lang w:val="ro-MD"/>
              </w:rPr>
              <w:t>,</w:t>
            </w:r>
            <w:r w:rsidR="00386C34" w:rsidRPr="00407B5E">
              <w:rPr>
                <w:rFonts w:ascii="Times New Roman" w:eastAsia="Times New Roman" w:hAnsi="Times New Roman"/>
                <w:sz w:val="24"/>
                <w:szCs w:val="24"/>
                <w:lang w:val="ro-MD"/>
              </w:rPr>
              <w:t xml:space="preserve"> Departamentul energie electrică și regenerabilă, Secția reglementări.</w:t>
            </w:r>
          </w:p>
        </w:tc>
      </w:tr>
      <w:tr w:rsidR="00407B5E" w:rsidRPr="00407B5E"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2.</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Condi</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impus</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elaborarea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F79667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Temeiul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legal</w:t>
            </w:r>
            <w:r w:rsidR="00825DC9" w:rsidRPr="00407B5E">
              <w:rPr>
                <w:rFonts w:ascii="Times New Roman" w:hAnsi="Times New Roman"/>
                <w:sz w:val="24"/>
                <w:szCs w:val="24"/>
                <w:lang w:val="ro-RO"/>
              </w:rPr>
              <w:t xml:space="preserve"> sau</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după</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caz</w:t>
            </w:r>
            <w:r w:rsidR="00825DC9"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sursa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p>
        </w:tc>
      </w:tr>
      <w:tr w:rsidR="00407B5E" w:rsidRPr="00407B5E" w14:paraId="5475408D"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C92F65" w14:textId="77777777" w:rsidR="0050720D" w:rsidRPr="00407B5E" w:rsidRDefault="0050720D" w:rsidP="008F718B">
            <w:pPr>
              <w:rPr>
                <w:rFonts w:ascii="Times New Roman" w:hAnsi="Times New Roman"/>
                <w:sz w:val="24"/>
                <w:szCs w:val="24"/>
                <w:lang w:val="ro-RO"/>
              </w:rPr>
            </w:pPr>
          </w:p>
          <w:p w14:paraId="46D63A32" w14:textId="2D410B65" w:rsidR="00FE5CF7" w:rsidRPr="00407B5E" w:rsidRDefault="00FE5CF7" w:rsidP="008F718B">
            <w:pPr>
              <w:rPr>
                <w:rFonts w:ascii="Times New Roman" w:hAnsi="Times New Roman"/>
                <w:sz w:val="24"/>
                <w:szCs w:val="24"/>
                <w:lang w:val="ro-RO"/>
              </w:rPr>
            </w:pPr>
            <w:r w:rsidRPr="00407B5E">
              <w:rPr>
                <w:rFonts w:ascii="Times New Roman" w:hAnsi="Times New Roman"/>
                <w:sz w:val="24"/>
                <w:szCs w:val="24"/>
                <w:lang w:val="ro-RO"/>
              </w:rPr>
              <w:t xml:space="preserve">Temeiul legal pentru intervenția de reglementare propusă îl constituie art. </w:t>
            </w:r>
            <w:r w:rsidR="003171CA" w:rsidRPr="00407B5E">
              <w:rPr>
                <w:rFonts w:ascii="Times New Roman" w:hAnsi="Times New Roman"/>
                <w:sz w:val="24"/>
                <w:szCs w:val="24"/>
                <w:lang w:val="ro-RO"/>
              </w:rPr>
              <w:t>9</w:t>
            </w:r>
            <w:r w:rsidRPr="00407B5E">
              <w:rPr>
                <w:rFonts w:ascii="Times New Roman" w:hAnsi="Times New Roman"/>
                <w:sz w:val="24"/>
                <w:szCs w:val="24"/>
                <w:lang w:val="ro-RO"/>
              </w:rPr>
              <w:t xml:space="preserve"> alin. (</w:t>
            </w:r>
            <w:r w:rsidR="003171CA" w:rsidRPr="00407B5E">
              <w:rPr>
                <w:rFonts w:ascii="Times New Roman" w:hAnsi="Times New Roman"/>
                <w:sz w:val="24"/>
                <w:szCs w:val="24"/>
                <w:lang w:val="ro-RO"/>
              </w:rPr>
              <w:t>1</w:t>
            </w:r>
            <w:r w:rsidRPr="00407B5E">
              <w:rPr>
                <w:rFonts w:ascii="Times New Roman" w:hAnsi="Times New Roman"/>
                <w:sz w:val="24"/>
                <w:szCs w:val="24"/>
                <w:lang w:val="ro-RO"/>
              </w:rPr>
              <w:t xml:space="preserve">) lit. </w:t>
            </w:r>
            <w:r w:rsidR="003171CA" w:rsidRPr="00407B5E">
              <w:rPr>
                <w:rFonts w:ascii="Times New Roman" w:hAnsi="Times New Roman"/>
                <w:sz w:val="24"/>
                <w:szCs w:val="24"/>
                <w:lang w:val="ro-RO"/>
              </w:rPr>
              <w:t>l</w:t>
            </w:r>
            <w:r w:rsidRPr="00407B5E">
              <w:rPr>
                <w:rFonts w:ascii="Times New Roman" w:hAnsi="Times New Roman"/>
                <w:sz w:val="24"/>
                <w:szCs w:val="24"/>
                <w:lang w:val="ro-RO"/>
              </w:rPr>
              <w:t>)</w:t>
            </w:r>
            <w:r w:rsidR="00874221"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din Legea nr. 1</w:t>
            </w:r>
            <w:r w:rsidR="003171CA" w:rsidRPr="00407B5E">
              <w:rPr>
                <w:rFonts w:ascii="Times New Roman" w:hAnsi="Times New Roman"/>
                <w:sz w:val="24"/>
                <w:szCs w:val="24"/>
                <w:lang w:val="ro-RO"/>
              </w:rPr>
              <w:t>64</w:t>
            </w:r>
            <w:r w:rsidRPr="00407B5E">
              <w:rPr>
                <w:rFonts w:ascii="Times New Roman" w:hAnsi="Times New Roman"/>
                <w:sz w:val="24"/>
                <w:szCs w:val="24"/>
                <w:lang w:val="ro-RO"/>
              </w:rPr>
              <w:t>/20</w:t>
            </w:r>
            <w:r w:rsidR="003171CA" w:rsidRPr="00407B5E">
              <w:rPr>
                <w:rFonts w:ascii="Times New Roman" w:hAnsi="Times New Roman"/>
                <w:sz w:val="24"/>
                <w:szCs w:val="24"/>
                <w:lang w:val="ro-RO"/>
              </w:rPr>
              <w:t>25</w:t>
            </w:r>
            <w:r w:rsidRPr="00407B5E">
              <w:rPr>
                <w:rFonts w:ascii="Times New Roman" w:hAnsi="Times New Roman"/>
                <w:sz w:val="24"/>
                <w:szCs w:val="24"/>
                <w:lang w:val="ro-RO"/>
              </w:rPr>
              <w:t xml:space="preserve"> cu privire la energia electrică </w:t>
            </w:r>
            <w:r w:rsidRPr="00407B5E">
              <w:rPr>
                <w:rFonts w:ascii="Times New Roman" w:hAnsi="Times New Roman"/>
                <w:i/>
                <w:sz w:val="24"/>
                <w:szCs w:val="24"/>
                <w:lang w:val="ro-RO"/>
              </w:rPr>
              <w:t>(Monitorul Oficial al Republicii Moldova, nr.</w:t>
            </w:r>
            <w:r w:rsidR="003171CA" w:rsidRPr="00407B5E">
              <w:rPr>
                <w:rFonts w:ascii="Times New Roman" w:hAnsi="Times New Roman"/>
                <w:i/>
                <w:sz w:val="24"/>
                <w:szCs w:val="24"/>
                <w:lang w:val="ro-RO"/>
              </w:rPr>
              <w:t xml:space="preserve"> 437</w:t>
            </w:r>
            <w:r w:rsidRPr="00407B5E">
              <w:rPr>
                <w:rFonts w:ascii="Times New Roman" w:hAnsi="Times New Roman"/>
                <w:i/>
                <w:sz w:val="24"/>
                <w:szCs w:val="24"/>
                <w:lang w:val="ro-RO"/>
              </w:rPr>
              <w:t>-</w:t>
            </w:r>
            <w:r w:rsidR="003171CA" w:rsidRPr="00407B5E">
              <w:rPr>
                <w:rFonts w:ascii="Times New Roman" w:hAnsi="Times New Roman"/>
                <w:i/>
                <w:sz w:val="24"/>
                <w:szCs w:val="24"/>
                <w:lang w:val="ro-RO"/>
              </w:rPr>
              <w:t>440/598</w:t>
            </w:r>
            <w:r w:rsidRPr="00407B5E">
              <w:rPr>
                <w:rFonts w:ascii="Times New Roman" w:hAnsi="Times New Roman"/>
                <w:i/>
                <w:sz w:val="24"/>
                <w:szCs w:val="24"/>
                <w:lang w:val="ro-RO"/>
              </w:rPr>
              <w:t>,</w:t>
            </w:r>
            <w:r w:rsidR="003171CA" w:rsidRPr="00407B5E">
              <w:rPr>
                <w:rFonts w:ascii="Times New Roman" w:hAnsi="Times New Roman"/>
                <w:i/>
                <w:sz w:val="24"/>
                <w:szCs w:val="24"/>
                <w:lang w:val="ro-RO"/>
              </w:rPr>
              <w:t xml:space="preserve"> din 19.08.2025</w:t>
            </w:r>
            <w:r w:rsidRPr="00407B5E">
              <w:rPr>
                <w:rFonts w:ascii="Times New Roman" w:hAnsi="Times New Roman"/>
                <w:i/>
                <w:sz w:val="24"/>
                <w:szCs w:val="24"/>
                <w:lang w:val="ro-RO"/>
              </w:rPr>
              <w:t>)</w:t>
            </w:r>
            <w:r w:rsidRPr="00407B5E">
              <w:rPr>
                <w:rFonts w:ascii="Times New Roman" w:hAnsi="Times New Roman"/>
                <w:sz w:val="24"/>
                <w:szCs w:val="24"/>
                <w:lang w:val="ro-RO"/>
              </w:rPr>
              <w:t>, care prevede că Agenția</w:t>
            </w:r>
            <w:r w:rsidR="003171CA" w:rsidRPr="00407B5E">
              <w:rPr>
                <w:rFonts w:ascii="Times New Roman" w:hAnsi="Times New Roman"/>
                <w:sz w:val="24"/>
                <w:szCs w:val="24"/>
                <w:lang w:val="ro-RO"/>
              </w:rPr>
              <w:t xml:space="preserve"> aprobă metodologia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pentru energia electrică şi energia termică produse la centralele electrice de termoficare urbane, alte metodologii de calculare, aprobare şi aplicare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şi a tarifelor reglementate, inclusiv metodologia tarifară pentru serviciul de operare a pieţei energiei electrice, precum şi </w:t>
            </w:r>
            <w:r w:rsidR="00874221" w:rsidRPr="00407B5E">
              <w:rPr>
                <w:rFonts w:ascii="Times New Roman" w:hAnsi="Times New Roman"/>
                <w:sz w:val="24"/>
                <w:szCs w:val="24"/>
                <w:lang w:val="ro-RO"/>
              </w:rPr>
              <w:t>preturile</w:t>
            </w:r>
            <w:r w:rsidR="003171CA" w:rsidRPr="00407B5E">
              <w:rPr>
                <w:rFonts w:ascii="Times New Roman" w:hAnsi="Times New Roman"/>
                <w:sz w:val="24"/>
                <w:szCs w:val="24"/>
                <w:lang w:val="ro-RO"/>
              </w:rPr>
              <w:t xml:space="preserve"> şi tarifele reglementate prevăzute la art. 129 alin. (2) lit. a), d), f)</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w:t>
            </w:r>
            <w:r w:rsidR="00392F5D" w:rsidRPr="00407B5E">
              <w:rPr>
                <w:rFonts w:ascii="Times New Roman" w:hAnsi="Times New Roman"/>
                <w:sz w:val="24"/>
                <w:szCs w:val="24"/>
                <w:lang w:val="ro-RO"/>
              </w:rPr>
              <w:t xml:space="preserve"> </w:t>
            </w:r>
            <w:r w:rsidR="003171CA" w:rsidRPr="00407B5E">
              <w:rPr>
                <w:rFonts w:ascii="Times New Roman" w:hAnsi="Times New Roman"/>
                <w:sz w:val="24"/>
                <w:szCs w:val="24"/>
                <w:lang w:val="ro-RO"/>
              </w:rPr>
              <w:t xml:space="preserve">i), de asemenea monitorizează corectitudinea aplicării de către titularii de </w:t>
            </w:r>
            <w:r w:rsidR="00874221" w:rsidRPr="00407B5E">
              <w:rPr>
                <w:rFonts w:ascii="Times New Roman" w:hAnsi="Times New Roman"/>
                <w:sz w:val="24"/>
                <w:szCs w:val="24"/>
                <w:lang w:val="ro-RO"/>
              </w:rPr>
              <w:t>licențe</w:t>
            </w:r>
            <w:r w:rsidR="003171CA" w:rsidRPr="00407B5E">
              <w:rPr>
                <w:rFonts w:ascii="Times New Roman" w:hAnsi="Times New Roman"/>
                <w:sz w:val="24"/>
                <w:szCs w:val="24"/>
                <w:lang w:val="ro-RO"/>
              </w:rPr>
              <w:t xml:space="preserve"> a metodologiilor respective, precum şi a tarifelor şi a </w:t>
            </w:r>
            <w:r w:rsidR="00874221" w:rsidRPr="00407B5E">
              <w:rPr>
                <w:rFonts w:ascii="Times New Roman" w:hAnsi="Times New Roman"/>
                <w:sz w:val="24"/>
                <w:szCs w:val="24"/>
                <w:lang w:val="ro-RO"/>
              </w:rPr>
              <w:t>prețurilor</w:t>
            </w:r>
            <w:r w:rsidR="003171CA" w:rsidRPr="00407B5E">
              <w:rPr>
                <w:rFonts w:ascii="Times New Roman" w:hAnsi="Times New Roman"/>
                <w:sz w:val="24"/>
                <w:szCs w:val="24"/>
                <w:lang w:val="ro-RO"/>
              </w:rPr>
              <w:t xml:space="preserve"> reglementate aprobate în conformitate cu acestea</w:t>
            </w:r>
            <w:r w:rsidRPr="00407B5E">
              <w:rPr>
                <w:rFonts w:ascii="Times New Roman" w:hAnsi="Times New Roman"/>
                <w:sz w:val="24"/>
                <w:szCs w:val="24"/>
                <w:lang w:val="ro-RO"/>
              </w:rPr>
              <w:t>.</w:t>
            </w:r>
          </w:p>
          <w:p w14:paraId="3D6E8872" w14:textId="480336EC" w:rsidR="0050720D" w:rsidRPr="00407B5E" w:rsidRDefault="003171CA" w:rsidP="00874221">
            <w:pPr>
              <w:rPr>
                <w:rFonts w:ascii="Times New Roman" w:hAnsi="Times New Roman"/>
                <w:sz w:val="24"/>
                <w:szCs w:val="24"/>
                <w:lang w:val="ro-RO"/>
              </w:rPr>
            </w:pPr>
            <w:r w:rsidRPr="00407B5E">
              <w:rPr>
                <w:rFonts w:ascii="Times New Roman" w:hAnsi="Times New Roman"/>
                <w:sz w:val="24"/>
                <w:szCs w:val="24"/>
                <w:lang w:val="ro-RO"/>
              </w:rPr>
              <w:t>Subs</w:t>
            </w:r>
            <w:r w:rsidR="00F722C6" w:rsidRPr="00407B5E">
              <w:rPr>
                <w:rFonts w:ascii="Times New Roman" w:hAnsi="Times New Roman"/>
                <w:sz w:val="24"/>
                <w:szCs w:val="24"/>
                <w:lang w:val="ro-RO"/>
              </w:rPr>
              <w:t>ecvent art. 129 alin. (2) lit. g</w:t>
            </w:r>
            <w:r w:rsidRPr="00407B5E">
              <w:rPr>
                <w:rFonts w:ascii="Times New Roman" w:hAnsi="Times New Roman"/>
                <w:sz w:val="24"/>
                <w:szCs w:val="24"/>
                <w:lang w:val="ro-RO"/>
              </w:rPr>
              <w:t xml:space="preserve">) stipulează că în categoria prețurilor și tarifelor reglementate se încadrează </w:t>
            </w:r>
            <w:r w:rsidR="00874221" w:rsidRPr="00407B5E">
              <w:rPr>
                <w:rFonts w:ascii="Times New Roman" w:hAnsi="Times New Roman"/>
                <w:b/>
                <w:sz w:val="24"/>
                <w:szCs w:val="24"/>
                <w:lang w:val="ro-RO"/>
              </w:rPr>
              <w:t>preturile reglementate pentru energia electrică furnizată</w:t>
            </w:r>
            <w:r w:rsidR="00874221" w:rsidRPr="00407B5E">
              <w:rPr>
                <w:rFonts w:ascii="Times New Roman" w:hAnsi="Times New Roman"/>
                <w:b/>
                <w:sz w:val="24"/>
                <w:szCs w:val="24"/>
              </w:rPr>
              <w:t xml:space="preserve"> de </w:t>
            </w:r>
            <w:proofErr w:type="spellStart"/>
            <w:r w:rsidR="00874221" w:rsidRPr="00407B5E">
              <w:rPr>
                <w:rFonts w:ascii="Times New Roman" w:hAnsi="Times New Roman"/>
                <w:b/>
                <w:sz w:val="24"/>
                <w:szCs w:val="24"/>
              </w:rPr>
              <w:t>furnizorul</w:t>
            </w:r>
            <w:proofErr w:type="spellEnd"/>
            <w:r w:rsidR="00874221" w:rsidRPr="00407B5E">
              <w:rPr>
                <w:rFonts w:ascii="Times New Roman" w:hAnsi="Times New Roman"/>
                <w:b/>
                <w:sz w:val="24"/>
                <w:szCs w:val="24"/>
              </w:rPr>
              <w:t xml:space="preserve"> central de </w:t>
            </w:r>
            <w:proofErr w:type="spellStart"/>
            <w:r w:rsidR="00874221" w:rsidRPr="00407B5E">
              <w:rPr>
                <w:rFonts w:ascii="Times New Roman" w:hAnsi="Times New Roman"/>
                <w:b/>
                <w:sz w:val="24"/>
                <w:szCs w:val="24"/>
              </w:rPr>
              <w:t>energie</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electrică</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în</w:t>
            </w:r>
            <w:proofErr w:type="spellEnd"/>
            <w:r w:rsidR="00874221" w:rsidRPr="00407B5E">
              <w:rPr>
                <w:rFonts w:ascii="Times New Roman" w:hAnsi="Times New Roman"/>
                <w:b/>
                <w:sz w:val="24"/>
                <w:szCs w:val="24"/>
              </w:rPr>
              <w:t xml:space="preserve"> </w:t>
            </w:r>
            <w:proofErr w:type="spellStart"/>
            <w:r w:rsidR="00874221" w:rsidRPr="00407B5E">
              <w:rPr>
                <w:rFonts w:ascii="Times New Roman" w:hAnsi="Times New Roman"/>
                <w:b/>
                <w:sz w:val="24"/>
                <w:szCs w:val="24"/>
              </w:rPr>
              <w:t>conformitate</w:t>
            </w:r>
            <w:proofErr w:type="spellEnd"/>
            <w:r w:rsidR="00874221" w:rsidRPr="00407B5E">
              <w:rPr>
                <w:rFonts w:ascii="Times New Roman" w:hAnsi="Times New Roman"/>
                <w:b/>
                <w:sz w:val="24"/>
                <w:szCs w:val="24"/>
              </w:rPr>
              <w:t xml:space="preserve"> cu art.87 </w:t>
            </w:r>
            <w:proofErr w:type="spellStart"/>
            <w:r w:rsidR="00874221" w:rsidRPr="00407B5E">
              <w:rPr>
                <w:rFonts w:ascii="Times New Roman" w:hAnsi="Times New Roman"/>
                <w:b/>
                <w:sz w:val="24"/>
                <w:szCs w:val="24"/>
              </w:rPr>
              <w:t>alin</w:t>
            </w:r>
            <w:proofErr w:type="spellEnd"/>
            <w:r w:rsidR="00874221" w:rsidRPr="00407B5E">
              <w:rPr>
                <w:rFonts w:ascii="Times New Roman" w:hAnsi="Times New Roman"/>
                <w:b/>
                <w:sz w:val="24"/>
                <w:szCs w:val="24"/>
              </w:rPr>
              <w:t>.</w:t>
            </w:r>
            <w:r w:rsidR="00EF7E8F">
              <w:rPr>
                <w:rFonts w:ascii="Times New Roman" w:hAnsi="Times New Roman"/>
                <w:b/>
                <w:sz w:val="24"/>
                <w:szCs w:val="24"/>
              </w:rPr>
              <w:t xml:space="preserve"> </w:t>
            </w:r>
            <w:r w:rsidR="00874221" w:rsidRPr="00407B5E">
              <w:rPr>
                <w:rFonts w:ascii="Times New Roman" w:hAnsi="Times New Roman"/>
                <w:b/>
                <w:sz w:val="24"/>
                <w:szCs w:val="24"/>
              </w:rPr>
              <w:t>(2)</w:t>
            </w:r>
            <w:r w:rsidR="00874221" w:rsidRPr="00407B5E">
              <w:rPr>
                <w:rFonts w:ascii="Times New Roman" w:hAnsi="Times New Roman"/>
                <w:sz w:val="24"/>
                <w:szCs w:val="24"/>
                <w:lang w:val="ro-RO"/>
              </w:rPr>
              <w:t xml:space="preserve">. </w:t>
            </w:r>
          </w:p>
        </w:tc>
      </w:tr>
      <w:tr w:rsidR="00407B5E" w:rsidRPr="00407B5E" w14:paraId="6F56D62C"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2.2.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Descrierea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situa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actuale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problemelor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impun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interven</w:t>
            </w:r>
            <w:r w:rsidR="00863417" w:rsidRPr="00407B5E">
              <w:rPr>
                <w:rFonts w:ascii="Times New Roman" w:hAnsi="Times New Roman"/>
                <w:sz w:val="24"/>
                <w:szCs w:val="24"/>
                <w:lang w:val="ro-RO"/>
              </w:rPr>
              <w:t>ț</w:t>
            </w:r>
            <w:r w:rsidRPr="00407B5E">
              <w:rPr>
                <w:rFonts w:ascii="Times New Roman" w:hAnsi="Times New Roman"/>
                <w:sz w:val="24"/>
                <w:szCs w:val="24"/>
                <w:lang w:val="ro-RO"/>
              </w:rPr>
              <w:t>ia,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inclusiv</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cadrul</w:t>
            </w:r>
            <w:r w:rsidR="005C7769" w:rsidRPr="00407B5E">
              <w:rPr>
                <w:rFonts w:ascii="Times New Roman" w:hAnsi="Times New Roman"/>
                <w:sz w:val="24"/>
                <w:szCs w:val="24"/>
                <w:lang w:val="ro-RO"/>
              </w:rPr>
              <w:t>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aplicabil</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5C7769" w:rsidRPr="00407B5E">
              <w:rPr>
                <w:rFonts w:ascii="Times New Roman" w:hAnsi="Times New Roman"/>
                <w:sz w:val="24"/>
                <w:szCs w:val="24"/>
                <w:lang w:val="ro-RO"/>
              </w:rPr>
              <w:t xml:space="preserve">a </w:t>
            </w:r>
            <w:r w:rsidRPr="00407B5E">
              <w:rPr>
                <w:rFonts w:ascii="Times New Roman" w:hAnsi="Times New Roman"/>
                <w:sz w:val="24"/>
                <w:szCs w:val="24"/>
                <w:lang w:val="ro-RO"/>
              </w:rPr>
              <w:t>deficien</w:t>
            </w:r>
            <w:r w:rsidR="00863417" w:rsidRPr="00407B5E">
              <w:rPr>
                <w:rFonts w:ascii="Times New Roman" w:hAnsi="Times New Roman"/>
                <w:sz w:val="24"/>
                <w:szCs w:val="24"/>
                <w:lang w:val="ro-RO"/>
              </w:rPr>
              <w:t>ț</w:t>
            </w:r>
            <w:r w:rsidRPr="00407B5E">
              <w:rPr>
                <w:rFonts w:ascii="Times New Roman" w:hAnsi="Times New Roman"/>
                <w:sz w:val="24"/>
                <w:szCs w:val="24"/>
                <w:lang w:val="ro-RO"/>
              </w:rPr>
              <w:t>el</w:t>
            </w:r>
            <w:r w:rsidR="005C7769" w:rsidRPr="00407B5E">
              <w:rPr>
                <w:rFonts w:ascii="Times New Roman" w:hAnsi="Times New Roman"/>
                <w:sz w:val="24"/>
                <w:szCs w:val="24"/>
                <w:lang w:val="ro-RO"/>
              </w:rPr>
              <w:t>or</w:t>
            </w:r>
            <w:r w:rsidRPr="00407B5E">
              <w:rPr>
                <w:rFonts w:ascii="Times New Roman" w:hAnsi="Times New Roman"/>
                <w:sz w:val="24"/>
                <w:szCs w:val="24"/>
                <w:lang w:val="ro-RO"/>
              </w:rPr>
              <w:t>/lacunel</w:t>
            </w:r>
            <w:r w:rsidR="005C7769" w:rsidRPr="00407B5E">
              <w:rPr>
                <w:rFonts w:ascii="Times New Roman" w:hAnsi="Times New Roman"/>
                <w:sz w:val="24"/>
                <w:szCs w:val="24"/>
                <w:lang w:val="ro-RO"/>
              </w:rPr>
              <w:t>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p>
        </w:tc>
      </w:tr>
      <w:tr w:rsidR="00407B5E" w:rsidRPr="00407B5E" w14:paraId="30963134" w14:textId="77777777" w:rsidTr="00FE5CF7">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EAE137E" w14:textId="77777777" w:rsidR="0050720D" w:rsidRPr="00407B5E" w:rsidRDefault="0050720D" w:rsidP="00FE5CF7">
            <w:pPr>
              <w:rPr>
                <w:rFonts w:ascii="Times New Roman" w:hAnsi="Times New Roman"/>
                <w:sz w:val="24"/>
                <w:szCs w:val="24"/>
                <w:lang w:val="ro-RO"/>
              </w:rPr>
            </w:pPr>
          </w:p>
          <w:p w14:paraId="221A0665" w14:textId="1734D895" w:rsidR="00FE5CF7" w:rsidRPr="00407B5E" w:rsidRDefault="00462154" w:rsidP="00FE5CF7">
            <w:pPr>
              <w:rPr>
                <w:rFonts w:ascii="Times New Roman" w:hAnsi="Times New Roman"/>
                <w:sz w:val="24"/>
                <w:szCs w:val="24"/>
                <w:lang w:val="ro-RO"/>
              </w:rPr>
            </w:pPr>
            <w:r w:rsidRPr="00407B5E">
              <w:rPr>
                <w:rFonts w:ascii="Times New Roman" w:hAnsi="Times New Roman"/>
                <w:sz w:val="24"/>
                <w:szCs w:val="24"/>
                <w:lang w:val="ro-RO"/>
              </w:rPr>
              <w:t xml:space="preserve">Actualmente </w:t>
            </w:r>
            <w:r w:rsidR="0019436F" w:rsidRPr="00407B5E">
              <w:rPr>
                <w:rFonts w:ascii="Times New Roman" w:hAnsi="Times New Roman"/>
                <w:sz w:val="24"/>
                <w:szCs w:val="24"/>
                <w:lang w:val="ro-RO"/>
              </w:rPr>
              <w:t xml:space="preserve">prețurile reglementate pentru energia electrică furnizată </w:t>
            </w:r>
            <w:r w:rsidR="00776C86" w:rsidRPr="00407B5E">
              <w:rPr>
                <w:rFonts w:ascii="Times New Roman" w:hAnsi="Times New Roman"/>
                <w:sz w:val="24"/>
                <w:szCs w:val="24"/>
                <w:lang w:val="ro-RO"/>
              </w:rPr>
              <w:t xml:space="preserve">de furnizorul central de energie electrică </w:t>
            </w:r>
            <w:r w:rsidR="0019436F" w:rsidRPr="00407B5E">
              <w:rPr>
                <w:rFonts w:ascii="Times New Roman" w:hAnsi="Times New Roman"/>
                <w:sz w:val="24"/>
                <w:szCs w:val="24"/>
                <w:lang w:val="ro-RO"/>
              </w:rPr>
              <w:t>sunt calculate conform prevederilor actului normativ în vigoare, aprobat prin Hotărârea Consiliului de administrație al ANRE</w:t>
            </w:r>
            <w:r w:rsidR="00E244BF" w:rsidRPr="00407B5E">
              <w:rPr>
                <w:rFonts w:ascii="Times New Roman" w:hAnsi="Times New Roman"/>
                <w:sz w:val="24"/>
                <w:szCs w:val="24"/>
                <w:lang w:val="ro-RO"/>
              </w:rPr>
              <w:t xml:space="preserve"> nr. </w:t>
            </w:r>
            <w:r w:rsidR="00776C86" w:rsidRPr="00407B5E">
              <w:rPr>
                <w:rFonts w:ascii="Times New Roman" w:hAnsi="Times New Roman"/>
                <w:sz w:val="24"/>
                <w:szCs w:val="24"/>
                <w:lang w:val="ro-RO"/>
              </w:rPr>
              <w:t>483</w:t>
            </w:r>
            <w:r w:rsidR="00E244BF" w:rsidRPr="00407B5E">
              <w:rPr>
                <w:rFonts w:ascii="Times New Roman" w:hAnsi="Times New Roman"/>
                <w:sz w:val="24"/>
                <w:szCs w:val="24"/>
                <w:lang w:val="ro-RO"/>
              </w:rPr>
              <w:t>/201</w:t>
            </w:r>
            <w:r w:rsidR="00776C86" w:rsidRPr="00407B5E">
              <w:rPr>
                <w:rFonts w:ascii="Times New Roman" w:hAnsi="Times New Roman"/>
                <w:sz w:val="24"/>
                <w:szCs w:val="24"/>
                <w:lang w:val="ro-RO"/>
              </w:rPr>
              <w:t>7 din 1</w:t>
            </w:r>
            <w:r w:rsidR="00E244BF" w:rsidRPr="00407B5E">
              <w:rPr>
                <w:rFonts w:ascii="Times New Roman" w:hAnsi="Times New Roman"/>
                <w:sz w:val="24"/>
                <w:szCs w:val="24"/>
                <w:lang w:val="ro-RO"/>
              </w:rPr>
              <w:t>3.</w:t>
            </w:r>
            <w:r w:rsidR="00776C86" w:rsidRPr="00407B5E">
              <w:rPr>
                <w:rFonts w:ascii="Times New Roman" w:hAnsi="Times New Roman"/>
                <w:sz w:val="24"/>
                <w:szCs w:val="24"/>
                <w:lang w:val="ro-RO"/>
              </w:rPr>
              <w:t>1</w:t>
            </w:r>
            <w:r w:rsidR="00E244BF" w:rsidRPr="00407B5E">
              <w:rPr>
                <w:rFonts w:ascii="Times New Roman" w:hAnsi="Times New Roman"/>
                <w:sz w:val="24"/>
                <w:szCs w:val="24"/>
                <w:lang w:val="ro-RO"/>
              </w:rPr>
              <w:t>2.201</w:t>
            </w:r>
            <w:r w:rsidR="00776C86" w:rsidRPr="00407B5E">
              <w:rPr>
                <w:rFonts w:ascii="Times New Roman" w:hAnsi="Times New Roman"/>
                <w:sz w:val="24"/>
                <w:szCs w:val="24"/>
                <w:lang w:val="ro-RO"/>
              </w:rPr>
              <w:t>7</w:t>
            </w:r>
            <w:r w:rsidR="00E244BF" w:rsidRPr="00407B5E">
              <w:rPr>
                <w:rFonts w:ascii="Times New Roman" w:hAnsi="Times New Roman"/>
                <w:sz w:val="24"/>
                <w:szCs w:val="24"/>
                <w:lang w:val="ro-RO"/>
              </w:rPr>
              <w:t xml:space="preserve"> –</w:t>
            </w:r>
            <w:r w:rsidR="0019436F" w:rsidRPr="00407B5E">
              <w:rPr>
                <w:rFonts w:ascii="Times New Roman" w:hAnsi="Times New Roman"/>
                <w:sz w:val="24"/>
                <w:szCs w:val="24"/>
                <w:lang w:val="ro-RO"/>
              </w:rPr>
              <w:t xml:space="preserve"> </w:t>
            </w:r>
            <w:r w:rsidR="00E244BF" w:rsidRPr="00407B5E">
              <w:rPr>
                <w:rFonts w:ascii="Times New Roman" w:hAnsi="Times New Roman"/>
                <w:sz w:val="24"/>
                <w:szCs w:val="24"/>
                <w:lang w:val="ro-RO"/>
              </w:rPr>
              <w:t xml:space="preserve">Metodologia de calculare, aprobare și aplicare a prețurilor reglementate pentru </w:t>
            </w:r>
            <w:r w:rsidR="00776C86" w:rsidRPr="00407B5E">
              <w:rPr>
                <w:rFonts w:ascii="Times New Roman" w:hAnsi="Times New Roman"/>
                <w:sz w:val="24"/>
                <w:szCs w:val="24"/>
                <w:lang w:val="ro-RO"/>
              </w:rPr>
              <w:t xml:space="preserve">energia electrică </w:t>
            </w:r>
            <w:r w:rsidR="00E244BF" w:rsidRPr="00407B5E">
              <w:rPr>
                <w:rFonts w:ascii="Times New Roman" w:hAnsi="Times New Roman"/>
                <w:sz w:val="24"/>
                <w:szCs w:val="24"/>
                <w:lang w:val="ro-RO"/>
              </w:rPr>
              <w:t>furniza</w:t>
            </w:r>
            <w:r w:rsidR="00776C86" w:rsidRPr="00407B5E">
              <w:rPr>
                <w:rFonts w:ascii="Times New Roman" w:hAnsi="Times New Roman"/>
                <w:sz w:val="24"/>
                <w:szCs w:val="24"/>
                <w:lang w:val="ro-RO"/>
              </w:rPr>
              <w:t>tă</w:t>
            </w:r>
            <w:r w:rsidR="00E244BF" w:rsidRPr="00407B5E">
              <w:rPr>
                <w:rFonts w:ascii="Times New Roman" w:hAnsi="Times New Roman"/>
                <w:sz w:val="24"/>
                <w:szCs w:val="24"/>
                <w:lang w:val="ro-RO"/>
              </w:rPr>
              <w:t xml:space="preserve"> </w:t>
            </w:r>
            <w:r w:rsidR="00776C86" w:rsidRPr="00407B5E">
              <w:rPr>
                <w:rFonts w:ascii="Times New Roman" w:hAnsi="Times New Roman"/>
                <w:sz w:val="24"/>
                <w:szCs w:val="24"/>
                <w:lang w:val="ro-RO"/>
              </w:rPr>
              <w:t xml:space="preserve">de </w:t>
            </w:r>
            <w:r w:rsidR="00E244BF" w:rsidRPr="00407B5E">
              <w:rPr>
                <w:rFonts w:ascii="Times New Roman" w:hAnsi="Times New Roman"/>
                <w:sz w:val="24"/>
                <w:szCs w:val="24"/>
                <w:lang w:val="ro-RO"/>
              </w:rPr>
              <w:t xml:space="preserve">furnizorul </w:t>
            </w:r>
            <w:r w:rsidR="00776C86" w:rsidRPr="00407B5E">
              <w:rPr>
                <w:rFonts w:ascii="Times New Roman" w:hAnsi="Times New Roman"/>
                <w:sz w:val="24"/>
                <w:szCs w:val="24"/>
                <w:lang w:val="ro-RO"/>
              </w:rPr>
              <w:t>central de energie electrică</w:t>
            </w:r>
            <w:r w:rsidR="00E244BF" w:rsidRPr="00407B5E">
              <w:rPr>
                <w:rFonts w:ascii="Times New Roman" w:hAnsi="Times New Roman"/>
                <w:sz w:val="24"/>
                <w:szCs w:val="24"/>
                <w:lang w:val="ro-RO"/>
              </w:rPr>
              <w:t xml:space="preserve"> </w:t>
            </w:r>
            <w:r w:rsidR="00E244BF" w:rsidRPr="00407B5E">
              <w:rPr>
                <w:rFonts w:ascii="Times New Roman" w:hAnsi="Times New Roman"/>
                <w:i/>
                <w:sz w:val="24"/>
                <w:szCs w:val="24"/>
                <w:lang w:val="ro-RO"/>
              </w:rPr>
              <w:t>(în continuare</w:t>
            </w:r>
            <w:r w:rsidR="0050720D" w:rsidRPr="00407B5E">
              <w:rPr>
                <w:rFonts w:ascii="Times New Roman" w:hAnsi="Times New Roman"/>
                <w:i/>
                <w:sz w:val="24"/>
                <w:szCs w:val="24"/>
                <w:lang w:val="ro-RO"/>
              </w:rPr>
              <w:t xml:space="preserve"> –</w:t>
            </w:r>
            <w:r w:rsidR="00E244BF" w:rsidRPr="00407B5E">
              <w:rPr>
                <w:rFonts w:ascii="Times New Roman" w:hAnsi="Times New Roman"/>
                <w:i/>
                <w:sz w:val="24"/>
                <w:szCs w:val="24"/>
                <w:lang w:val="ro-RO"/>
              </w:rPr>
              <w:t>Metodologie)</w:t>
            </w:r>
            <w:r w:rsidR="00E244BF" w:rsidRPr="00407B5E">
              <w:rPr>
                <w:rFonts w:ascii="Times New Roman" w:hAnsi="Times New Roman"/>
                <w:sz w:val="24"/>
                <w:szCs w:val="24"/>
                <w:lang w:val="ro-RO"/>
              </w:rPr>
              <w:t>.</w:t>
            </w:r>
            <w:r w:rsidR="00FE5CF7" w:rsidRPr="00407B5E">
              <w:rPr>
                <w:rFonts w:ascii="Times New Roman" w:hAnsi="Times New Roman"/>
                <w:sz w:val="24"/>
                <w:szCs w:val="24"/>
                <w:lang w:val="ro-RO"/>
              </w:rPr>
              <w:t xml:space="preserve"> </w:t>
            </w:r>
          </w:p>
          <w:p w14:paraId="46A99FDC" w14:textId="1E1392E7" w:rsidR="00F85D69" w:rsidRPr="00407B5E" w:rsidRDefault="00E244BF" w:rsidP="00FE5CF7">
            <w:pPr>
              <w:rPr>
                <w:rFonts w:ascii="Times New Roman" w:hAnsi="Times New Roman"/>
                <w:sz w:val="24"/>
                <w:szCs w:val="24"/>
                <w:lang w:val="ro-MD" w:eastAsia="ru-RU"/>
              </w:rPr>
            </w:pPr>
            <w:r w:rsidRPr="00407B5E">
              <w:rPr>
                <w:rFonts w:ascii="Times New Roman" w:hAnsi="Times New Roman"/>
                <w:sz w:val="24"/>
                <w:szCs w:val="24"/>
                <w:lang w:val="ro-RO"/>
              </w:rPr>
              <w:t xml:space="preserve">Metodologia în vigoare stabilește </w:t>
            </w:r>
            <w:r w:rsidR="00957ED4" w:rsidRPr="00407B5E">
              <w:rPr>
                <w:rFonts w:ascii="Times New Roman" w:hAnsi="Times New Roman"/>
                <w:sz w:val="24"/>
                <w:szCs w:val="24"/>
                <w:lang w:val="ro-RO" w:eastAsia="ru-RU"/>
              </w:rPr>
              <w:t xml:space="preserve">principiile </w:t>
            </w:r>
            <w:r w:rsidR="00776C86" w:rsidRPr="00407B5E">
              <w:rPr>
                <w:rFonts w:ascii="Times New Roman" w:hAnsi="Times New Roman"/>
                <w:sz w:val="24"/>
                <w:szCs w:val="24"/>
                <w:lang w:val="ro-MD" w:eastAsia="ru-RU"/>
              </w:rPr>
              <w:t>și modul de determinare a prețurilor reglementate pentru energia electrică furnizată de furnizorul central</w:t>
            </w:r>
            <w:r w:rsidR="00F426D8">
              <w:rPr>
                <w:rFonts w:ascii="Times New Roman" w:hAnsi="Times New Roman"/>
                <w:sz w:val="24"/>
                <w:szCs w:val="24"/>
                <w:lang w:val="ro-MD" w:eastAsia="ru-RU"/>
              </w:rPr>
              <w:t xml:space="preserve"> de energie electrică </w:t>
            </w:r>
            <w:r w:rsidR="00F426D8" w:rsidRPr="002E6FC8">
              <w:rPr>
                <w:i/>
                <w:sz w:val="24"/>
                <w:szCs w:val="24"/>
                <w:lang w:val="ro-MD" w:eastAsia="ru-RU"/>
              </w:rPr>
              <w:t>(în continuare – FCEE)</w:t>
            </w:r>
            <w:r w:rsidR="00957ED4" w:rsidRPr="00407B5E">
              <w:rPr>
                <w:rFonts w:ascii="Times New Roman" w:hAnsi="Times New Roman"/>
                <w:sz w:val="24"/>
                <w:szCs w:val="24"/>
                <w:lang w:val="ro-RO"/>
              </w:rPr>
              <w:t xml:space="preserve">, precum și </w:t>
            </w:r>
            <w:r w:rsidR="00776C86" w:rsidRPr="00407B5E">
              <w:rPr>
                <w:rFonts w:ascii="Times New Roman" w:hAnsi="Times New Roman"/>
                <w:sz w:val="24"/>
                <w:szCs w:val="24"/>
                <w:lang w:val="ro-MD" w:eastAsia="ru-RU"/>
              </w:rPr>
              <w:t xml:space="preserve">procedura şi modul de ajustare a prețurilor reglementate pentru energia electrică furnizată de </w:t>
            </w:r>
            <w:r w:rsidR="00F426D8">
              <w:rPr>
                <w:rFonts w:ascii="Times New Roman" w:hAnsi="Times New Roman"/>
                <w:sz w:val="24"/>
                <w:szCs w:val="24"/>
                <w:lang w:val="ro-MD" w:eastAsia="ru-RU"/>
              </w:rPr>
              <w:t>FCEE</w:t>
            </w:r>
            <w:r w:rsidR="00776C86" w:rsidRPr="00407B5E">
              <w:rPr>
                <w:rFonts w:ascii="Times New Roman" w:hAnsi="Times New Roman"/>
                <w:sz w:val="24"/>
                <w:szCs w:val="24"/>
                <w:lang w:val="ro-MD" w:eastAsia="ru-RU"/>
              </w:rPr>
              <w:t>.</w:t>
            </w:r>
          </w:p>
          <w:p w14:paraId="5C98F2DF" w14:textId="6FF757CB" w:rsidR="00E57F0F" w:rsidRPr="00407B5E" w:rsidRDefault="00502641" w:rsidP="00FE5CF7">
            <w:pPr>
              <w:rPr>
                <w:rFonts w:ascii="Times New Roman" w:eastAsia="Times New Roman" w:hAnsi="Times New Roman"/>
                <w:sz w:val="24"/>
                <w:szCs w:val="24"/>
                <w:lang w:val="ro-RO" w:eastAsia="ru-RU"/>
              </w:rPr>
            </w:pPr>
            <w:r w:rsidRPr="00407B5E">
              <w:rPr>
                <w:rFonts w:ascii="Times New Roman" w:eastAsia="Times New Roman" w:hAnsi="Times New Roman"/>
                <w:sz w:val="24"/>
                <w:szCs w:val="24"/>
                <w:lang w:val="ro-RO" w:eastAsia="ru-RU"/>
              </w:rPr>
              <w:t>Modificarea cadrului normativ primar, în special a Legii nr.</w:t>
            </w:r>
            <w:r w:rsidR="00215C5C">
              <w:rPr>
                <w:rFonts w:ascii="Times New Roman" w:eastAsia="Times New Roman" w:hAnsi="Times New Roman"/>
                <w:sz w:val="24"/>
                <w:szCs w:val="24"/>
                <w:lang w:val="ro-RO" w:eastAsia="ru-RU"/>
              </w:rPr>
              <w:t> </w:t>
            </w:r>
            <w:r w:rsidRPr="00407B5E">
              <w:rPr>
                <w:rFonts w:ascii="Times New Roman" w:eastAsia="Times New Roman" w:hAnsi="Times New Roman"/>
                <w:sz w:val="24"/>
                <w:szCs w:val="24"/>
                <w:lang w:val="ro-RO" w:eastAsia="ru-RU"/>
              </w:rPr>
              <w:t>10/2016 privind promovarea utilizării energiei din surse regenerabile</w:t>
            </w:r>
            <w:r w:rsidR="00215C5C">
              <w:rPr>
                <w:rFonts w:ascii="Times New Roman" w:eastAsia="Times New Roman" w:hAnsi="Times New Roman"/>
                <w:sz w:val="24"/>
                <w:szCs w:val="24"/>
                <w:lang w:val="ro-RO" w:eastAsia="ru-RU"/>
              </w:rPr>
              <w:t xml:space="preserve"> </w:t>
            </w:r>
            <w:r w:rsidR="00215C5C" w:rsidRPr="002E6FC8">
              <w:rPr>
                <w:i/>
                <w:sz w:val="24"/>
                <w:szCs w:val="24"/>
                <w:lang w:val="ro-RO" w:eastAsia="ru-RU"/>
              </w:rPr>
              <w:t>(în continuare – Legea 10/2016)</w:t>
            </w:r>
            <w:r w:rsidRPr="00407B5E">
              <w:rPr>
                <w:rFonts w:ascii="Times New Roman" w:eastAsia="Times New Roman" w:hAnsi="Times New Roman"/>
                <w:sz w:val="24"/>
                <w:szCs w:val="24"/>
                <w:lang w:val="ro-RO" w:eastAsia="ru-RU"/>
              </w:rPr>
              <w:t xml:space="preserve">, a condus la </w:t>
            </w:r>
            <w:r w:rsidR="00445321" w:rsidRPr="00407B5E">
              <w:rPr>
                <w:rFonts w:ascii="Times New Roman" w:eastAsia="Times New Roman" w:hAnsi="Times New Roman"/>
                <w:sz w:val="24"/>
                <w:szCs w:val="24"/>
                <w:lang w:val="ro-RO" w:eastAsia="ru-RU"/>
              </w:rPr>
              <w:t>apariția unor noi componente utilizate la formarea prețului reglementat pentru energia electrică din surse regenerabile,</w:t>
            </w:r>
            <w:r w:rsidR="00E57F0F" w:rsidRPr="00407B5E">
              <w:rPr>
                <w:rFonts w:ascii="Times New Roman" w:eastAsia="Times New Roman" w:hAnsi="Times New Roman"/>
                <w:sz w:val="24"/>
                <w:szCs w:val="24"/>
                <w:lang w:val="ro-RO" w:eastAsia="ru-RU"/>
              </w:rPr>
              <w:t xml:space="preserve"> și anume:</w:t>
            </w:r>
          </w:p>
          <w:p w14:paraId="3C518A19" w14:textId="18D631C1" w:rsidR="00E57F0F" w:rsidRPr="00407B5E" w:rsidRDefault="00E57F0F" w:rsidP="00E57F0F">
            <w:pPr>
              <w:pStyle w:val="afb"/>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Costurile eferente obligației  de colectare şi de dispunere de mijloace financiare (</w:t>
            </w:r>
            <w:r w:rsidR="00EC44F4" w:rsidRPr="00407B5E">
              <w:rPr>
                <w:rFonts w:ascii="Times New Roman" w:hAnsi="Times New Roman"/>
                <w:sz w:val="24"/>
                <w:szCs w:val="24"/>
                <w:lang w:val="ro-RO" w:eastAsia="ru-RU"/>
              </w:rPr>
              <w:t>lichidități</w:t>
            </w:r>
            <w:r w:rsidRPr="00407B5E">
              <w:rPr>
                <w:rFonts w:ascii="Times New Roman" w:hAnsi="Times New Roman"/>
                <w:sz w:val="24"/>
                <w:szCs w:val="24"/>
                <w:lang w:val="ro-RO" w:eastAsia="ru-RU"/>
              </w:rPr>
              <w:t xml:space="preserve">) echivalente </w:t>
            </w:r>
            <w:proofErr w:type="spellStart"/>
            <w:r w:rsidRPr="00407B5E">
              <w:rPr>
                <w:rFonts w:ascii="Times New Roman" w:hAnsi="Times New Roman"/>
                <w:sz w:val="24"/>
                <w:szCs w:val="24"/>
                <w:lang w:val="ro-RO" w:eastAsia="ru-RU"/>
              </w:rPr>
              <w:t>plăţilor</w:t>
            </w:r>
            <w:proofErr w:type="spellEnd"/>
            <w:r w:rsidRPr="00407B5E">
              <w:rPr>
                <w:rFonts w:ascii="Times New Roman" w:hAnsi="Times New Roman"/>
                <w:sz w:val="24"/>
                <w:szCs w:val="24"/>
                <w:lang w:val="ro-RO" w:eastAsia="ru-RU"/>
              </w:rPr>
              <w:t xml:space="preserve"> prognozate pentru o perioadă de o lună pentru producătorii eligibili mari </w:t>
            </w:r>
            <w:proofErr w:type="spellStart"/>
            <w:r w:rsidRPr="00407B5E">
              <w:rPr>
                <w:rFonts w:ascii="Times New Roman" w:hAnsi="Times New Roman"/>
                <w:sz w:val="24"/>
                <w:szCs w:val="24"/>
                <w:lang w:val="ro-RO" w:eastAsia="ru-RU"/>
              </w:rPr>
              <w:t>stabiliţi</w:t>
            </w:r>
            <w:proofErr w:type="spellEnd"/>
            <w:r w:rsidRPr="00407B5E">
              <w:rPr>
                <w:rFonts w:ascii="Times New Roman" w:hAnsi="Times New Roman"/>
                <w:sz w:val="24"/>
                <w:szCs w:val="24"/>
                <w:lang w:val="ro-RO" w:eastAsia="ru-RU"/>
              </w:rPr>
              <w:t xml:space="preserve"> în cadrul procedurilor de </w:t>
            </w:r>
            <w:proofErr w:type="spellStart"/>
            <w:r w:rsidRPr="00407B5E">
              <w:rPr>
                <w:rFonts w:ascii="Times New Roman" w:hAnsi="Times New Roman"/>
                <w:sz w:val="24"/>
                <w:szCs w:val="24"/>
                <w:lang w:val="ro-RO" w:eastAsia="ru-RU"/>
              </w:rPr>
              <w:t>licitaţii</w:t>
            </w:r>
            <w:proofErr w:type="spellEnd"/>
            <w:r w:rsidRPr="00407B5E">
              <w:rPr>
                <w:rFonts w:ascii="Times New Roman" w:hAnsi="Times New Roman"/>
                <w:sz w:val="24"/>
                <w:szCs w:val="24"/>
                <w:lang w:val="ro-RO" w:eastAsia="ru-RU"/>
              </w:rPr>
              <w:t xml:space="preserve"> </w:t>
            </w:r>
            <w:proofErr w:type="spellStart"/>
            <w:r w:rsidRPr="00407B5E">
              <w:rPr>
                <w:rFonts w:ascii="Times New Roman" w:hAnsi="Times New Roman"/>
                <w:sz w:val="24"/>
                <w:szCs w:val="24"/>
                <w:lang w:val="ro-RO" w:eastAsia="ru-RU"/>
              </w:rPr>
              <w:t>şi</w:t>
            </w:r>
            <w:proofErr w:type="spellEnd"/>
            <w:r w:rsidRPr="00407B5E">
              <w:rPr>
                <w:rFonts w:ascii="Times New Roman" w:hAnsi="Times New Roman"/>
                <w:sz w:val="24"/>
                <w:szCs w:val="24"/>
                <w:lang w:val="ro-RO" w:eastAsia="ru-RU"/>
              </w:rPr>
              <w:t xml:space="preserve"> pentru producătorii eligibili mici, în conformitate cu contractele semnate cu </w:t>
            </w:r>
            <w:proofErr w:type="spellStart"/>
            <w:r w:rsidRPr="00407B5E">
              <w:rPr>
                <w:rFonts w:ascii="Times New Roman" w:hAnsi="Times New Roman"/>
                <w:sz w:val="24"/>
                <w:szCs w:val="24"/>
                <w:lang w:val="ro-RO" w:eastAsia="ru-RU"/>
              </w:rPr>
              <w:t>aceştia</w:t>
            </w:r>
            <w:proofErr w:type="spellEnd"/>
            <w:r w:rsidR="00215C5C">
              <w:rPr>
                <w:rFonts w:ascii="Times New Roman" w:hAnsi="Times New Roman"/>
                <w:sz w:val="24"/>
                <w:szCs w:val="24"/>
                <w:lang w:val="ro-RO" w:eastAsia="ru-RU"/>
              </w:rPr>
              <w:t xml:space="preserve"> (art. 30 alin. (1</w:t>
            </w:r>
            <w:r w:rsidR="00215C5C" w:rsidRPr="002E6FC8">
              <w:rPr>
                <w:sz w:val="24"/>
                <w:szCs w:val="24"/>
                <w:vertAlign w:val="superscript"/>
                <w:lang w:val="ro-RO" w:eastAsia="ru-RU"/>
              </w:rPr>
              <w:t>1</w:t>
            </w:r>
            <w:r w:rsidR="00215C5C">
              <w:rPr>
                <w:rFonts w:ascii="Times New Roman" w:hAnsi="Times New Roman"/>
                <w:sz w:val="24"/>
                <w:szCs w:val="24"/>
                <w:lang w:val="ro-RO" w:eastAsia="ru-RU"/>
              </w:rPr>
              <w:t>) din Legea 10/2016)</w:t>
            </w:r>
            <w:r w:rsidRPr="00407B5E">
              <w:rPr>
                <w:rFonts w:ascii="Times New Roman" w:hAnsi="Times New Roman"/>
                <w:sz w:val="24"/>
                <w:szCs w:val="24"/>
                <w:lang w:val="ro-RO" w:eastAsia="ru-RU"/>
              </w:rPr>
              <w:t>;</w:t>
            </w:r>
          </w:p>
          <w:p w14:paraId="36A0DE6E" w14:textId="6FA4EFCF" w:rsidR="00CE208A" w:rsidRPr="00407B5E" w:rsidRDefault="00E57F0F" w:rsidP="00E57F0F">
            <w:pPr>
              <w:pStyle w:val="afb"/>
              <w:numPr>
                <w:ilvl w:val="0"/>
                <w:numId w:val="16"/>
              </w:numPr>
              <w:rPr>
                <w:rFonts w:ascii="Times New Roman" w:hAnsi="Times New Roman"/>
                <w:sz w:val="24"/>
                <w:szCs w:val="24"/>
                <w:lang w:val="ro-RO" w:eastAsia="ru-RU"/>
              </w:rPr>
            </w:pPr>
            <w:r w:rsidRPr="00407B5E">
              <w:rPr>
                <w:rFonts w:ascii="Times New Roman" w:hAnsi="Times New Roman"/>
                <w:sz w:val="24"/>
                <w:szCs w:val="24"/>
                <w:lang w:val="ro-RO" w:eastAsia="ru-RU"/>
              </w:rPr>
              <w:t xml:space="preserve">costurile </w:t>
            </w:r>
            <w:r w:rsidR="00EC44F4" w:rsidRPr="00407B5E">
              <w:rPr>
                <w:rFonts w:ascii="Times New Roman" w:hAnsi="Times New Roman"/>
                <w:sz w:val="24"/>
                <w:szCs w:val="24"/>
                <w:lang w:val="ro-RO" w:eastAsia="ru-RU"/>
              </w:rPr>
              <w:t>operaționale</w:t>
            </w:r>
            <w:r w:rsidRPr="00407B5E">
              <w:rPr>
                <w:rFonts w:ascii="Times New Roman" w:hAnsi="Times New Roman"/>
                <w:sz w:val="24"/>
                <w:szCs w:val="24"/>
                <w:lang w:val="ro-RO" w:eastAsia="ru-RU"/>
              </w:rPr>
              <w:t xml:space="preserve"> suportate de furnizorul central de energie electrică în calitate de </w:t>
            </w:r>
            <w:r w:rsidR="00EC44F4" w:rsidRPr="00407B5E">
              <w:rPr>
                <w:rFonts w:ascii="Times New Roman" w:hAnsi="Times New Roman"/>
                <w:sz w:val="24"/>
                <w:szCs w:val="24"/>
                <w:lang w:val="ro-RO" w:eastAsia="ru-RU"/>
              </w:rPr>
              <w:t>contrapante</w:t>
            </w:r>
            <w:r w:rsidRPr="00407B5E">
              <w:rPr>
                <w:rFonts w:ascii="Times New Roman" w:hAnsi="Times New Roman"/>
                <w:sz w:val="24"/>
                <w:szCs w:val="24"/>
                <w:lang w:val="ro-RO" w:eastAsia="ru-RU"/>
              </w:rPr>
              <w:t xml:space="preserve"> la contractele pentru </w:t>
            </w:r>
            <w:r w:rsidR="00EC44F4" w:rsidRPr="00407B5E">
              <w:rPr>
                <w:rFonts w:ascii="Times New Roman" w:hAnsi="Times New Roman"/>
                <w:sz w:val="24"/>
                <w:szCs w:val="24"/>
                <w:lang w:val="ro-RO" w:eastAsia="ru-RU"/>
              </w:rPr>
              <w:t>diferențe</w:t>
            </w:r>
            <w:r w:rsidRPr="00407B5E">
              <w:rPr>
                <w:rFonts w:ascii="Times New Roman" w:hAnsi="Times New Roman"/>
                <w:sz w:val="24"/>
                <w:szCs w:val="24"/>
                <w:lang w:val="ro-RO" w:eastAsia="ru-RU"/>
              </w:rPr>
              <w:t xml:space="preserve"> şi contractele reglementate pentru </w:t>
            </w:r>
            <w:r w:rsidR="00EC44F4" w:rsidRPr="00407B5E">
              <w:rPr>
                <w:rFonts w:ascii="Times New Roman" w:hAnsi="Times New Roman"/>
                <w:sz w:val="24"/>
                <w:szCs w:val="24"/>
                <w:lang w:val="ro-RO" w:eastAsia="ru-RU"/>
              </w:rPr>
              <w:t>achiziționarea</w:t>
            </w:r>
            <w:r w:rsidRPr="00407B5E">
              <w:rPr>
                <w:rFonts w:ascii="Times New Roman" w:hAnsi="Times New Roman"/>
                <w:sz w:val="24"/>
                <w:szCs w:val="24"/>
                <w:lang w:val="ro-RO" w:eastAsia="ru-RU"/>
              </w:rPr>
              <w:t xml:space="preserve"> energiei electrice din surse regenerabile, costurile suportate în </w:t>
            </w:r>
            <w:r w:rsidRPr="00407B5E">
              <w:rPr>
                <w:rFonts w:ascii="Times New Roman" w:hAnsi="Times New Roman"/>
                <w:sz w:val="24"/>
                <w:szCs w:val="24"/>
                <w:lang w:val="ro-RO" w:eastAsia="ru-RU"/>
              </w:rPr>
              <w:lastRenderedPageBreak/>
              <w:t xml:space="preserve">legătură cu organizarea </w:t>
            </w:r>
            <w:r w:rsidR="00EC44F4" w:rsidRPr="00407B5E">
              <w:rPr>
                <w:rFonts w:ascii="Times New Roman" w:hAnsi="Times New Roman"/>
                <w:sz w:val="24"/>
                <w:szCs w:val="24"/>
                <w:lang w:val="ro-RO" w:eastAsia="ru-RU"/>
              </w:rPr>
              <w:t>licitațiilor</w:t>
            </w:r>
            <w:r w:rsidRPr="00407B5E">
              <w:rPr>
                <w:rFonts w:ascii="Times New Roman" w:hAnsi="Times New Roman"/>
                <w:sz w:val="24"/>
                <w:szCs w:val="24"/>
                <w:lang w:val="ro-RO" w:eastAsia="ru-RU"/>
              </w:rPr>
              <w:t xml:space="preserve"> pentru comercializarea </w:t>
            </w:r>
            <w:r w:rsidR="00EC44F4" w:rsidRPr="00407B5E">
              <w:rPr>
                <w:rFonts w:ascii="Times New Roman" w:hAnsi="Times New Roman"/>
                <w:sz w:val="24"/>
                <w:szCs w:val="24"/>
                <w:lang w:val="ro-RO" w:eastAsia="ru-RU"/>
              </w:rPr>
              <w:t>garanțiilor</w:t>
            </w:r>
            <w:r w:rsidRPr="00407B5E">
              <w:rPr>
                <w:rFonts w:ascii="Times New Roman" w:hAnsi="Times New Roman"/>
                <w:sz w:val="24"/>
                <w:szCs w:val="24"/>
                <w:lang w:val="ro-RO" w:eastAsia="ru-RU"/>
              </w:rPr>
              <w:t xml:space="preserve"> de origine şi pentru acoperirea costurilor administrative necesare în scopul implementării </w:t>
            </w:r>
            <w:r w:rsidR="00EC44F4" w:rsidRPr="00407B5E">
              <w:rPr>
                <w:rFonts w:ascii="Times New Roman" w:hAnsi="Times New Roman"/>
                <w:sz w:val="24"/>
                <w:szCs w:val="24"/>
                <w:lang w:val="ro-RO" w:eastAsia="ru-RU"/>
              </w:rPr>
              <w:t>prevederilor legii menționate</w:t>
            </w:r>
            <w:r w:rsidR="00215C5C">
              <w:rPr>
                <w:rFonts w:ascii="Times New Roman" w:hAnsi="Times New Roman"/>
                <w:sz w:val="24"/>
                <w:szCs w:val="24"/>
                <w:lang w:val="ro-RO" w:eastAsia="ru-RU"/>
              </w:rPr>
              <w:t xml:space="preserve"> (art</w:t>
            </w:r>
            <w:r w:rsidR="00890697">
              <w:rPr>
                <w:rFonts w:ascii="Times New Roman" w:hAnsi="Times New Roman"/>
                <w:sz w:val="24"/>
                <w:szCs w:val="24"/>
                <w:lang w:val="ro-RO" w:eastAsia="ru-RU"/>
              </w:rPr>
              <w:t>. 30 alin. (2) lit. f</w:t>
            </w:r>
            <w:r w:rsidR="00890697" w:rsidRPr="002E6FC8">
              <w:rPr>
                <w:sz w:val="24"/>
                <w:szCs w:val="24"/>
                <w:vertAlign w:val="superscript"/>
                <w:lang w:val="ro-RO" w:eastAsia="ru-RU"/>
              </w:rPr>
              <w:t>1</w:t>
            </w:r>
            <w:r w:rsidR="00890697">
              <w:rPr>
                <w:rFonts w:ascii="Times New Roman" w:hAnsi="Times New Roman"/>
                <w:sz w:val="24"/>
                <w:szCs w:val="24"/>
                <w:lang w:val="ro-RO" w:eastAsia="ru-RU"/>
              </w:rPr>
              <w:t xml:space="preserve"> din Legea 10/2016</w:t>
            </w:r>
            <w:r w:rsidR="00215C5C">
              <w:rPr>
                <w:rFonts w:ascii="Times New Roman" w:hAnsi="Times New Roman"/>
                <w:sz w:val="24"/>
                <w:szCs w:val="24"/>
                <w:lang w:val="ro-RO" w:eastAsia="ru-RU"/>
              </w:rPr>
              <w:t>)</w:t>
            </w:r>
            <w:r w:rsidRPr="00407B5E">
              <w:rPr>
                <w:rFonts w:ascii="Times New Roman" w:hAnsi="Times New Roman"/>
                <w:sz w:val="24"/>
                <w:szCs w:val="24"/>
                <w:lang w:val="ro-RO" w:eastAsia="ru-RU"/>
              </w:rPr>
              <w:t>.</w:t>
            </w:r>
            <w:r w:rsidR="00502641" w:rsidRPr="00407B5E">
              <w:rPr>
                <w:rFonts w:ascii="Times New Roman" w:hAnsi="Times New Roman"/>
                <w:sz w:val="24"/>
                <w:szCs w:val="24"/>
                <w:lang w:val="ro-RO" w:eastAsia="ru-RU"/>
              </w:rPr>
              <w:t xml:space="preserve"> </w:t>
            </w:r>
          </w:p>
          <w:p w14:paraId="6D01E206" w14:textId="2C960D8F" w:rsidR="00EC44F4" w:rsidRDefault="00EC44F4" w:rsidP="00EC44F4">
            <w:pPr>
              <w:pStyle w:val="afb"/>
              <w:ind w:left="0" w:firstLine="596"/>
              <w:rPr>
                <w:rFonts w:ascii="Times New Roman" w:hAnsi="Times New Roman"/>
                <w:sz w:val="24"/>
                <w:szCs w:val="24"/>
                <w:lang w:val="ro-RO" w:eastAsia="ru-RU"/>
              </w:rPr>
            </w:pPr>
            <w:r w:rsidRPr="00407B5E">
              <w:rPr>
                <w:rFonts w:ascii="Times New Roman" w:hAnsi="Times New Roman"/>
                <w:sz w:val="24"/>
                <w:szCs w:val="24"/>
                <w:lang w:val="ro-RO" w:eastAsia="ru-RU"/>
              </w:rPr>
              <w:t>Astfel, în legătură cu faptul, că prevederile actului normativ în vigoare nu iau în considerare aceste costuri problema de bază care necesită a fi soluționată</w:t>
            </w:r>
            <w:r w:rsidR="00F856C3" w:rsidRPr="00407B5E">
              <w:rPr>
                <w:rFonts w:ascii="Times New Roman" w:hAnsi="Times New Roman"/>
                <w:sz w:val="24"/>
                <w:szCs w:val="24"/>
                <w:lang w:val="ro-RO" w:eastAsia="ru-RU"/>
              </w:rPr>
              <w:t xml:space="preserve"> prin intervenția de </w:t>
            </w:r>
            <w:r w:rsidR="007C4A5B" w:rsidRPr="00407B5E">
              <w:rPr>
                <w:rFonts w:ascii="Times New Roman" w:hAnsi="Times New Roman"/>
                <w:sz w:val="24"/>
                <w:szCs w:val="24"/>
                <w:lang w:val="ro-RO" w:eastAsia="ru-RU"/>
              </w:rPr>
              <w:t>reglementar</w:t>
            </w:r>
            <w:r w:rsidR="007C4A5B">
              <w:rPr>
                <w:rFonts w:ascii="Times New Roman" w:hAnsi="Times New Roman"/>
                <w:sz w:val="24"/>
                <w:szCs w:val="24"/>
                <w:lang w:val="ro-RO" w:eastAsia="ru-RU"/>
              </w:rPr>
              <w:t>e</w:t>
            </w:r>
            <w:bookmarkStart w:id="0" w:name="_GoBack"/>
            <w:bookmarkEnd w:id="0"/>
            <w:r w:rsidR="007C4A5B" w:rsidRPr="00407B5E">
              <w:rPr>
                <w:rFonts w:ascii="Times New Roman" w:hAnsi="Times New Roman"/>
                <w:sz w:val="24"/>
                <w:szCs w:val="24"/>
                <w:lang w:val="ro-RO" w:eastAsia="ru-RU"/>
              </w:rPr>
              <w:t xml:space="preserve"> </w:t>
            </w:r>
            <w:r w:rsidR="00F856C3" w:rsidRPr="00407B5E">
              <w:rPr>
                <w:rFonts w:ascii="Times New Roman" w:hAnsi="Times New Roman"/>
                <w:sz w:val="24"/>
                <w:szCs w:val="24"/>
                <w:lang w:val="ro-RO" w:eastAsia="ru-RU"/>
              </w:rPr>
              <w:t>este:</w:t>
            </w:r>
          </w:p>
          <w:p w14:paraId="3CD6E6B0" w14:textId="77777777" w:rsidR="00890697" w:rsidRPr="00407B5E" w:rsidRDefault="00890697" w:rsidP="00EC44F4">
            <w:pPr>
              <w:pStyle w:val="afb"/>
              <w:ind w:left="0" w:firstLine="596"/>
              <w:rPr>
                <w:rFonts w:ascii="Times New Roman" w:hAnsi="Times New Roman"/>
                <w:sz w:val="24"/>
                <w:szCs w:val="24"/>
                <w:lang w:val="ro-RO" w:eastAsia="ru-RU"/>
              </w:rPr>
            </w:pPr>
          </w:p>
          <w:p w14:paraId="5A7B709F" w14:textId="59AC0592" w:rsidR="00F856C3" w:rsidRPr="00407B5E" w:rsidRDefault="00F856C3" w:rsidP="00BB49BC">
            <w:pPr>
              <w:pStyle w:val="afb"/>
              <w:numPr>
                <w:ilvl w:val="0"/>
                <w:numId w:val="16"/>
              </w:numPr>
              <w:rPr>
                <w:rFonts w:ascii="Times New Roman" w:hAnsi="Times New Roman"/>
                <w:i/>
                <w:sz w:val="24"/>
                <w:szCs w:val="24"/>
                <w:lang w:val="ro-RO" w:eastAsia="ru-RU"/>
              </w:rPr>
            </w:pPr>
            <w:r w:rsidRPr="00407B5E">
              <w:rPr>
                <w:rFonts w:ascii="Times New Roman" w:hAnsi="Times New Roman"/>
                <w:i/>
                <w:sz w:val="24"/>
                <w:szCs w:val="24"/>
                <w:lang w:val="ro-RO" w:eastAsia="ru-RU"/>
              </w:rPr>
              <w:t xml:space="preserve">Expunerea Furnizorului central riscurilor financiare, deoarece metodologia </w:t>
            </w:r>
            <w:r w:rsidR="0091540E" w:rsidRPr="00407B5E">
              <w:rPr>
                <w:rFonts w:ascii="Times New Roman" w:hAnsi="Times New Roman"/>
                <w:i/>
                <w:sz w:val="24"/>
                <w:szCs w:val="24"/>
                <w:lang w:val="ro-RO" w:eastAsia="ru-RU"/>
              </w:rPr>
              <w:t>actuală nu conține anumite componente noi</w:t>
            </w:r>
            <w:r w:rsidR="00890697">
              <w:rPr>
                <w:rFonts w:ascii="Times New Roman" w:hAnsi="Times New Roman"/>
                <w:i/>
                <w:sz w:val="24"/>
                <w:szCs w:val="24"/>
                <w:lang w:val="ro-RO" w:eastAsia="ru-RU"/>
              </w:rPr>
              <w:t>, fapt care</w:t>
            </w:r>
            <w:r w:rsidR="0091540E" w:rsidRPr="00407B5E">
              <w:rPr>
                <w:rFonts w:ascii="Times New Roman" w:hAnsi="Times New Roman"/>
                <w:i/>
                <w:sz w:val="24"/>
                <w:szCs w:val="24"/>
                <w:lang w:val="ro-RO" w:eastAsia="ru-RU"/>
              </w:rPr>
              <w:t xml:space="preserve">  impune riscuri</w:t>
            </w:r>
            <w:r w:rsidR="00BB49BC" w:rsidRPr="00407B5E">
              <w:rPr>
                <w:rFonts w:ascii="Times New Roman" w:hAnsi="Times New Roman"/>
                <w:i/>
                <w:sz w:val="24"/>
                <w:szCs w:val="24"/>
                <w:lang w:val="ro-RO" w:eastAsia="ru-RU"/>
              </w:rPr>
              <w:t xml:space="preserve"> privind recupera</w:t>
            </w:r>
            <w:r w:rsidR="0091540E" w:rsidRPr="00407B5E">
              <w:rPr>
                <w:rFonts w:ascii="Times New Roman" w:hAnsi="Times New Roman"/>
                <w:i/>
                <w:sz w:val="24"/>
                <w:szCs w:val="24"/>
                <w:lang w:val="ro-RO" w:eastAsia="ru-RU"/>
              </w:rPr>
              <w:t>rea</w:t>
            </w:r>
            <w:r w:rsidR="00BB49BC" w:rsidRPr="00407B5E">
              <w:rPr>
                <w:rFonts w:ascii="Times New Roman" w:hAnsi="Times New Roman"/>
                <w:i/>
                <w:sz w:val="24"/>
                <w:szCs w:val="24"/>
                <w:lang w:val="ro-RO" w:eastAsia="ru-RU"/>
              </w:rPr>
              <w:t xml:space="preserve"> tuturor cheltuielilor furnizorului dat.</w:t>
            </w:r>
          </w:p>
          <w:p w14:paraId="696F4032" w14:textId="77777777" w:rsidR="00BB49BC" w:rsidRPr="00407B5E" w:rsidRDefault="00BB49BC" w:rsidP="00BB49BC">
            <w:pPr>
              <w:pStyle w:val="afb"/>
              <w:ind w:left="1069" w:firstLine="0"/>
              <w:rPr>
                <w:rFonts w:ascii="Times New Roman" w:hAnsi="Times New Roman"/>
                <w:i/>
                <w:sz w:val="24"/>
                <w:szCs w:val="24"/>
                <w:lang w:val="ro-RO" w:eastAsia="ru-RU"/>
              </w:rPr>
            </w:pPr>
          </w:p>
          <w:p w14:paraId="656BD5B4" w14:textId="375EA2A8" w:rsidR="00BB49BC" w:rsidRPr="00407B5E" w:rsidRDefault="00BB49BC" w:rsidP="00BB49BC">
            <w:pPr>
              <w:pStyle w:val="afb"/>
              <w:tabs>
                <w:tab w:val="left" w:pos="588"/>
              </w:tabs>
              <w:ind w:left="29" w:firstLine="567"/>
              <w:rPr>
                <w:rFonts w:ascii="Times New Roman" w:hAnsi="Times New Roman"/>
                <w:bCs/>
                <w:iCs/>
                <w:sz w:val="24"/>
                <w:szCs w:val="24"/>
                <w:lang w:val="ro-RO" w:eastAsia="ru-RU"/>
              </w:rPr>
            </w:pPr>
            <w:r w:rsidRPr="00407B5E">
              <w:rPr>
                <w:rFonts w:ascii="Times New Roman" w:hAnsi="Times New Roman"/>
                <w:sz w:val="24"/>
                <w:szCs w:val="24"/>
                <w:lang w:val="ro-RO" w:eastAsia="ru-RU"/>
              </w:rPr>
              <w:t>Raționamentul intervenției es</w:t>
            </w:r>
            <w:r w:rsidR="009646C8" w:rsidRPr="00407B5E">
              <w:rPr>
                <w:rFonts w:ascii="Times New Roman" w:hAnsi="Times New Roman"/>
                <w:sz w:val="24"/>
                <w:szCs w:val="24"/>
                <w:lang w:val="ro-RO" w:eastAsia="ru-RU"/>
              </w:rPr>
              <w:t xml:space="preserve">te argumentat prin faptul, că </w:t>
            </w:r>
            <w:r w:rsidR="005805B7" w:rsidRPr="00407B5E">
              <w:rPr>
                <w:rFonts w:ascii="Times New Roman" w:hAnsi="Times New Roman"/>
                <w:bCs/>
                <w:iCs/>
                <w:sz w:val="24"/>
                <w:szCs w:val="24"/>
                <w:lang w:val="ro-RO" w:eastAsia="ru-RU"/>
              </w:rPr>
              <w:t>introduc</w:t>
            </w:r>
            <w:r w:rsidR="009646C8" w:rsidRPr="00407B5E">
              <w:rPr>
                <w:rFonts w:ascii="Times New Roman" w:hAnsi="Times New Roman"/>
                <w:bCs/>
                <w:iCs/>
                <w:sz w:val="24"/>
                <w:szCs w:val="24"/>
                <w:lang w:val="ro-RO" w:eastAsia="ru-RU"/>
              </w:rPr>
              <w:t>e</w:t>
            </w:r>
            <w:r w:rsidR="005805B7" w:rsidRPr="00407B5E">
              <w:rPr>
                <w:rFonts w:ascii="Times New Roman" w:hAnsi="Times New Roman"/>
                <w:bCs/>
                <w:iCs/>
                <w:sz w:val="24"/>
                <w:szCs w:val="24"/>
                <w:lang w:val="ro-RO" w:eastAsia="ru-RU"/>
              </w:rPr>
              <w:t>rea unor</w:t>
            </w:r>
            <w:r w:rsidR="009646C8" w:rsidRPr="00407B5E">
              <w:rPr>
                <w:rFonts w:ascii="Times New Roman" w:hAnsi="Times New Roman"/>
                <w:bCs/>
                <w:iCs/>
                <w:sz w:val="24"/>
                <w:szCs w:val="24"/>
                <w:lang w:val="ro-RO" w:eastAsia="ru-RU"/>
              </w:rPr>
              <w:t xml:space="preserve"> modificări în</w:t>
            </w:r>
            <w:r w:rsidRPr="00407B5E">
              <w:rPr>
                <w:rFonts w:ascii="Times New Roman" w:hAnsi="Times New Roman"/>
                <w:bCs/>
                <w:iCs/>
                <w:sz w:val="24"/>
                <w:szCs w:val="24"/>
                <w:lang w:val="ro-RO" w:eastAsia="ru-RU"/>
              </w:rPr>
              <w:t xml:space="preserve"> mecanismul de calculare a prețului pentru energia electrică furnizată de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w:t>
            </w:r>
            <w:r w:rsidR="005805B7" w:rsidRPr="00407B5E">
              <w:rPr>
                <w:rFonts w:ascii="Times New Roman" w:hAnsi="Times New Roman"/>
                <w:bCs/>
                <w:iCs/>
                <w:sz w:val="24"/>
                <w:szCs w:val="24"/>
                <w:lang w:val="ro-RO" w:eastAsia="ru-RU"/>
              </w:rPr>
              <w:t>va</w:t>
            </w:r>
            <w:r w:rsidRPr="00407B5E">
              <w:rPr>
                <w:rFonts w:ascii="Times New Roman" w:hAnsi="Times New Roman"/>
                <w:bCs/>
                <w:iCs/>
                <w:sz w:val="24"/>
                <w:szCs w:val="24"/>
                <w:lang w:val="ro-RO" w:eastAsia="ru-RU"/>
              </w:rPr>
              <w:t xml:space="preserve"> reflecta cheltuielile reale și justificate, strict necesare suportate către acesta pentru desfășurarea activității respective. </w:t>
            </w:r>
          </w:p>
          <w:p w14:paraId="4E65023C" w14:textId="53013F07" w:rsidR="00BB49BC" w:rsidRPr="00407B5E" w:rsidRDefault="00BB49BC" w:rsidP="00BB49BC">
            <w:pPr>
              <w:pStyle w:val="afb"/>
              <w:tabs>
                <w:tab w:val="left" w:pos="588"/>
              </w:tabs>
              <w:ind w:left="29" w:firstLine="567"/>
              <w:rPr>
                <w:rFonts w:ascii="Times New Roman" w:hAnsi="Times New Roman"/>
                <w:sz w:val="24"/>
                <w:szCs w:val="24"/>
                <w:lang w:val="ro-RO" w:eastAsia="ru-RU"/>
              </w:rPr>
            </w:pPr>
            <w:r w:rsidRPr="00407B5E">
              <w:rPr>
                <w:rFonts w:ascii="Times New Roman" w:hAnsi="Times New Roman"/>
                <w:bCs/>
                <w:iCs/>
                <w:sz w:val="24"/>
                <w:szCs w:val="24"/>
                <w:lang w:val="ro-RO" w:eastAsia="ru-RU"/>
              </w:rPr>
              <w:t xml:space="preserve"> Aceasta va permite o predictibilitate mai mare a activității furnizorului central de energie electrică, a costurilor suportate de către acesta la prestarea serviciului reglementat și a venitului reglementat ce va fi obținut anual de furnizor. </w:t>
            </w:r>
          </w:p>
          <w:p w14:paraId="18307754" w14:textId="77777777" w:rsidR="00B77DA8" w:rsidRPr="00407B5E" w:rsidRDefault="00B77DA8" w:rsidP="002D247A">
            <w:pPr>
              <w:rPr>
                <w:rFonts w:ascii="Times New Roman" w:eastAsia="Times New Roman" w:hAnsi="Times New Roman"/>
                <w:bCs/>
                <w:iCs/>
                <w:sz w:val="24"/>
                <w:szCs w:val="24"/>
                <w:lang w:val="ro-RO" w:eastAsia="ru-RU"/>
              </w:rPr>
            </w:pPr>
          </w:p>
          <w:p w14:paraId="0107D107" w14:textId="23A4EA81" w:rsidR="000A2A66" w:rsidRPr="00407B5E" w:rsidRDefault="000A2A66" w:rsidP="005805B7">
            <w:pPr>
              <w:ind w:firstLine="596"/>
              <w:rPr>
                <w:rFonts w:ascii="Times New Roman" w:eastAsia="Times New Roman" w:hAnsi="Times New Roman"/>
                <w:bCs/>
                <w:iCs/>
                <w:sz w:val="24"/>
                <w:szCs w:val="24"/>
                <w:lang w:val="ro-RO" w:eastAsia="ru-RU"/>
              </w:rPr>
            </w:pPr>
            <w:r w:rsidRPr="00407B5E">
              <w:rPr>
                <w:rFonts w:ascii="Times New Roman" w:hAnsi="Times New Roman"/>
                <w:bCs/>
                <w:iCs/>
                <w:sz w:val="24"/>
                <w:szCs w:val="24"/>
                <w:lang w:val="ro-RO" w:eastAsia="ru-RU"/>
              </w:rPr>
              <w:t>Cu privire la părțile interesate afectate de problem</w:t>
            </w:r>
            <w:r w:rsidR="00EA7F63" w:rsidRPr="00407B5E">
              <w:rPr>
                <w:rFonts w:ascii="Times New Roman" w:hAnsi="Times New Roman"/>
                <w:bCs/>
                <w:iCs/>
                <w:sz w:val="24"/>
                <w:szCs w:val="24"/>
                <w:lang w:val="ro-RO" w:eastAsia="ru-RU"/>
              </w:rPr>
              <w:t>a</w:t>
            </w:r>
            <w:r w:rsidRPr="00407B5E">
              <w:rPr>
                <w:rFonts w:ascii="Times New Roman" w:hAnsi="Times New Roman"/>
                <w:bCs/>
                <w:iCs/>
                <w:sz w:val="24"/>
                <w:szCs w:val="24"/>
                <w:lang w:val="ro-RO" w:eastAsia="ru-RU"/>
              </w:rPr>
              <w:t xml:space="preserve"> specificat</w:t>
            </w:r>
            <w:r w:rsidR="00EA7F63" w:rsidRPr="00407B5E">
              <w:rPr>
                <w:rFonts w:ascii="Times New Roman" w:hAnsi="Times New Roman"/>
                <w:bCs/>
                <w:iCs/>
                <w:sz w:val="24"/>
                <w:szCs w:val="24"/>
                <w:lang w:val="ro-RO" w:eastAsia="ru-RU"/>
              </w:rPr>
              <w:t>ă</w:t>
            </w:r>
            <w:r w:rsidRPr="00407B5E">
              <w:rPr>
                <w:rFonts w:ascii="Times New Roman" w:hAnsi="Times New Roman"/>
                <w:bCs/>
                <w:iCs/>
                <w:sz w:val="24"/>
                <w:szCs w:val="24"/>
                <w:lang w:val="ro-RO" w:eastAsia="ru-RU"/>
              </w:rPr>
              <w:t xml:space="preserve">, aici pot fi subliniate următoarele entități care sunt interesate de soluționarea </w:t>
            </w:r>
            <w:r w:rsidR="00EA7F63" w:rsidRPr="00407B5E">
              <w:rPr>
                <w:rFonts w:ascii="Times New Roman" w:hAnsi="Times New Roman"/>
                <w:bCs/>
                <w:iCs/>
                <w:sz w:val="24"/>
                <w:szCs w:val="24"/>
                <w:lang w:val="ro-RO" w:eastAsia="ru-RU"/>
              </w:rPr>
              <w:t>acesteia</w:t>
            </w:r>
            <w:r w:rsidRPr="00407B5E">
              <w:rPr>
                <w:rFonts w:ascii="Times New Roman" w:hAnsi="Times New Roman"/>
                <w:bCs/>
                <w:iCs/>
                <w:sz w:val="24"/>
                <w:szCs w:val="24"/>
                <w:lang w:val="ro-RO" w:eastAsia="ru-RU"/>
              </w:rPr>
              <w:t xml:space="preserve">: </w:t>
            </w:r>
          </w:p>
          <w:p w14:paraId="5199B5C4" w14:textId="77777777" w:rsidR="001717A9" w:rsidRPr="00407B5E" w:rsidRDefault="001717A9" w:rsidP="000A2A66">
            <w:pPr>
              <w:rPr>
                <w:rFonts w:ascii="Times New Roman" w:eastAsia="Times New Roman" w:hAnsi="Times New Roman"/>
                <w:bCs/>
                <w:iCs/>
                <w:sz w:val="24"/>
                <w:szCs w:val="24"/>
                <w:lang w:val="ro-RO" w:eastAsia="ru-RU"/>
              </w:rPr>
            </w:pPr>
          </w:p>
          <w:p w14:paraId="4BD0BACE" w14:textId="3E262E51" w:rsidR="000A2A66" w:rsidRPr="00407B5E" w:rsidRDefault="000A2A66" w:rsidP="009557CC">
            <w:pPr>
              <w:pStyle w:val="afb"/>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Furnizor</w:t>
            </w:r>
            <w:r w:rsidR="005805B7" w:rsidRPr="00407B5E">
              <w:rPr>
                <w:rFonts w:ascii="Times New Roman" w:hAnsi="Times New Roman"/>
                <w:b/>
                <w:bCs/>
                <w:iCs/>
                <w:sz w:val="24"/>
                <w:szCs w:val="24"/>
                <w:lang w:val="ro-RO" w:eastAsia="ru-RU"/>
              </w:rPr>
              <w:t>ul central</w:t>
            </w:r>
            <w:r w:rsidRPr="00407B5E">
              <w:rPr>
                <w:rFonts w:ascii="Times New Roman" w:hAnsi="Times New Roman"/>
                <w:b/>
                <w:bCs/>
                <w:iCs/>
                <w:sz w:val="24"/>
                <w:szCs w:val="24"/>
                <w:lang w:val="ro-RO" w:eastAsia="ru-RU"/>
              </w:rPr>
              <w:t xml:space="preserve"> de energie electrică</w:t>
            </w:r>
            <w:r w:rsidR="001717A9" w:rsidRPr="00407B5E">
              <w:rPr>
                <w:rFonts w:ascii="Times New Roman" w:hAnsi="Times New Roman"/>
                <w:bCs/>
                <w:iCs/>
                <w:sz w:val="24"/>
                <w:szCs w:val="24"/>
                <w:lang w:val="ro-RO" w:eastAsia="ru-RU"/>
              </w:rPr>
              <w:t xml:space="preserve"> </w:t>
            </w:r>
            <w:r w:rsidR="005805B7" w:rsidRPr="00407B5E">
              <w:rPr>
                <w:rFonts w:ascii="Times New Roman" w:hAnsi="Times New Roman"/>
                <w:b/>
                <w:bCs/>
                <w:iCs/>
                <w:sz w:val="24"/>
                <w:szCs w:val="24"/>
                <w:lang w:val="ro-RO" w:eastAsia="ru-RU"/>
              </w:rPr>
              <w:t>S.A. „</w:t>
            </w:r>
            <w:proofErr w:type="spellStart"/>
            <w:r w:rsidR="005805B7" w:rsidRPr="00407B5E">
              <w:rPr>
                <w:rFonts w:ascii="Times New Roman" w:hAnsi="Times New Roman"/>
                <w:b/>
                <w:bCs/>
                <w:iCs/>
                <w:sz w:val="24"/>
                <w:szCs w:val="24"/>
                <w:lang w:val="ro-RO" w:eastAsia="ru-RU"/>
              </w:rPr>
              <w:t>Energocom</w:t>
            </w:r>
            <w:proofErr w:type="spellEnd"/>
            <w:r w:rsidR="005805B7" w:rsidRPr="00407B5E">
              <w:rPr>
                <w:rFonts w:ascii="Times New Roman" w:hAnsi="Times New Roman"/>
                <w:b/>
                <w:bCs/>
                <w:iCs/>
                <w:sz w:val="24"/>
                <w:szCs w:val="24"/>
                <w:lang w:val="ro-RO" w:eastAsia="ru-RU"/>
              </w:rPr>
              <w:t>”</w:t>
            </w:r>
            <w:r w:rsidR="005805B7" w:rsidRPr="00407B5E">
              <w:rPr>
                <w:rFonts w:ascii="Times New Roman" w:hAnsi="Times New Roman"/>
                <w:bCs/>
                <w:iCs/>
                <w:sz w:val="24"/>
                <w:szCs w:val="24"/>
                <w:lang w:val="ro-RO" w:eastAsia="ru-RU"/>
              </w:rPr>
              <w:t xml:space="preserve"> – entitate desemnată de Guvern pentru a cumpăra energie electrică de la producătorii care generează energie electrică la centralele electrice eligibile care utilizează surse regenerabile de energie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o perioadă definită de timp, energia electrică produsă de centralele electrice de termoficare urbane, precum </w:t>
            </w:r>
            <w:r w:rsidR="008637A4" w:rsidRPr="00407B5E">
              <w:rPr>
                <w:rFonts w:ascii="Times New Roman" w:hAnsi="Times New Roman"/>
                <w:bCs/>
                <w:iCs/>
                <w:sz w:val="24"/>
                <w:szCs w:val="24"/>
                <w:lang w:val="ro-RO" w:eastAsia="ru-RU"/>
              </w:rPr>
              <w:t>și</w:t>
            </w:r>
            <w:r w:rsidR="005805B7" w:rsidRPr="00407B5E">
              <w:rPr>
                <w:rFonts w:ascii="Times New Roman" w:hAnsi="Times New Roman"/>
                <w:bCs/>
                <w:iCs/>
                <w:sz w:val="24"/>
                <w:szCs w:val="24"/>
                <w:lang w:val="ro-RO" w:eastAsia="ru-RU"/>
              </w:rPr>
              <w:t xml:space="preserve"> pentru a furniza această energie pe </w:t>
            </w:r>
            <w:r w:rsidR="008637A4" w:rsidRPr="00407B5E">
              <w:rPr>
                <w:rFonts w:ascii="Times New Roman" w:hAnsi="Times New Roman"/>
                <w:bCs/>
                <w:iCs/>
                <w:sz w:val="24"/>
                <w:szCs w:val="24"/>
                <w:lang w:val="ro-RO" w:eastAsia="ru-RU"/>
              </w:rPr>
              <w:t>piața</w:t>
            </w:r>
            <w:r w:rsidR="005805B7" w:rsidRPr="00407B5E">
              <w:rPr>
                <w:rFonts w:ascii="Times New Roman" w:hAnsi="Times New Roman"/>
                <w:bCs/>
                <w:iCs/>
                <w:sz w:val="24"/>
                <w:szCs w:val="24"/>
                <w:lang w:val="ro-RO" w:eastAsia="ru-RU"/>
              </w:rPr>
              <w:t xml:space="preserve"> energiei electrice în </w:t>
            </w:r>
            <w:r w:rsidR="008637A4" w:rsidRPr="00407B5E">
              <w:rPr>
                <w:rFonts w:ascii="Times New Roman" w:hAnsi="Times New Roman"/>
                <w:bCs/>
                <w:iCs/>
                <w:sz w:val="24"/>
                <w:szCs w:val="24"/>
                <w:lang w:val="ro-RO" w:eastAsia="ru-RU"/>
              </w:rPr>
              <w:t>condițiile</w:t>
            </w:r>
            <w:r w:rsidR="005805B7" w:rsidRPr="00407B5E">
              <w:rPr>
                <w:rFonts w:ascii="Times New Roman" w:hAnsi="Times New Roman"/>
                <w:bCs/>
                <w:iCs/>
                <w:sz w:val="24"/>
                <w:szCs w:val="24"/>
                <w:lang w:val="ro-RO" w:eastAsia="ru-RU"/>
              </w:rPr>
              <w:t xml:space="preserve"> prezentei legi, la </w:t>
            </w:r>
            <w:r w:rsidR="008637A4" w:rsidRPr="00407B5E">
              <w:rPr>
                <w:rFonts w:ascii="Times New Roman" w:hAnsi="Times New Roman"/>
                <w:bCs/>
                <w:iCs/>
                <w:sz w:val="24"/>
                <w:szCs w:val="24"/>
                <w:lang w:val="ro-RO" w:eastAsia="ru-RU"/>
              </w:rPr>
              <w:t>preturi</w:t>
            </w:r>
            <w:r w:rsidR="005805B7" w:rsidRPr="00407B5E">
              <w:rPr>
                <w:rFonts w:ascii="Times New Roman" w:hAnsi="Times New Roman"/>
                <w:bCs/>
                <w:iCs/>
                <w:sz w:val="24"/>
                <w:szCs w:val="24"/>
                <w:lang w:val="ro-RO" w:eastAsia="ru-RU"/>
              </w:rPr>
              <w:t xml:space="preserve"> reglementate, aprobate de către </w:t>
            </w:r>
            <w:r w:rsidR="008637A4" w:rsidRPr="00407B5E">
              <w:rPr>
                <w:rFonts w:ascii="Times New Roman" w:hAnsi="Times New Roman"/>
                <w:bCs/>
                <w:iCs/>
                <w:sz w:val="24"/>
                <w:szCs w:val="24"/>
                <w:lang w:val="ro-RO" w:eastAsia="ru-RU"/>
              </w:rPr>
              <w:t>Agenție</w:t>
            </w:r>
            <w:r w:rsidRPr="00407B5E">
              <w:rPr>
                <w:rFonts w:ascii="Times New Roman" w:hAnsi="Times New Roman"/>
                <w:bCs/>
                <w:iCs/>
                <w:sz w:val="24"/>
                <w:szCs w:val="24"/>
                <w:lang w:val="ro-RO" w:eastAsia="ru-RU"/>
              </w:rPr>
              <w:t>;</w:t>
            </w:r>
          </w:p>
          <w:p w14:paraId="35CFF238" w14:textId="77777777" w:rsidR="008637A4" w:rsidRPr="00407B5E" w:rsidRDefault="008637A4" w:rsidP="001717A9">
            <w:pPr>
              <w:numPr>
                <w:ilvl w:val="0"/>
                <w:numId w:val="2"/>
              </w:numPr>
              <w:rPr>
                <w:rFonts w:ascii="Times New Roman" w:hAnsi="Times New Roman"/>
                <w:bCs/>
                <w:iCs/>
                <w:sz w:val="24"/>
                <w:szCs w:val="24"/>
                <w:lang w:val="ro-RO" w:eastAsia="ru-RU"/>
              </w:rPr>
            </w:pPr>
            <w:r w:rsidRPr="00407B5E">
              <w:rPr>
                <w:rFonts w:ascii="Times New Roman" w:hAnsi="Times New Roman"/>
                <w:b/>
                <w:bCs/>
                <w:iCs/>
                <w:sz w:val="24"/>
                <w:szCs w:val="24"/>
                <w:lang w:val="ro-RO" w:eastAsia="ru-RU"/>
              </w:rPr>
              <w:t xml:space="preserve">Furnizorii de </w:t>
            </w:r>
            <w:r w:rsidR="000A2A66" w:rsidRPr="00407B5E">
              <w:rPr>
                <w:rFonts w:ascii="Times New Roman" w:hAnsi="Times New Roman"/>
                <w:b/>
                <w:bCs/>
                <w:iCs/>
                <w:sz w:val="24"/>
                <w:szCs w:val="24"/>
                <w:lang w:val="ro-RO" w:eastAsia="ru-RU"/>
              </w:rPr>
              <w:t>energie electrică</w:t>
            </w:r>
            <w:r w:rsidRPr="00407B5E">
              <w:rPr>
                <w:rFonts w:ascii="Times New Roman" w:hAnsi="Times New Roman"/>
                <w:b/>
                <w:bCs/>
                <w:iCs/>
                <w:sz w:val="24"/>
                <w:szCs w:val="24"/>
                <w:lang w:val="ro-RO" w:eastAsia="ru-RU"/>
              </w:rPr>
              <w:t>:</w:t>
            </w:r>
          </w:p>
          <w:p w14:paraId="4A93B24B" w14:textId="77777777" w:rsidR="008637A4" w:rsidRPr="00407B5E" w:rsidRDefault="001717A9" w:rsidP="008637A4">
            <w:pPr>
              <w:ind w:left="1091" w:firstLine="0"/>
              <w:rPr>
                <w:rFonts w:ascii="Times New Roman" w:hAnsi="Times New Roman"/>
                <w:bCs/>
                <w:iCs/>
                <w:sz w:val="24"/>
                <w:szCs w:val="24"/>
                <w:lang w:eastAsia="ru-RU"/>
              </w:rPr>
            </w:pPr>
            <w:r w:rsidRPr="00407B5E">
              <w:rPr>
                <w:rFonts w:ascii="Times New Roman" w:hAnsi="Times New Roman"/>
                <w:bCs/>
                <w:iCs/>
                <w:sz w:val="24"/>
                <w:szCs w:val="24"/>
                <w:lang w:val="ro-RO" w:eastAsia="ru-RU"/>
              </w:rPr>
              <w:t xml:space="preserve"> –  </w:t>
            </w:r>
            <w:r w:rsidR="008637A4" w:rsidRPr="00407B5E">
              <w:rPr>
                <w:rFonts w:ascii="Times New Roman" w:hAnsi="Times New Roman"/>
                <w:bCs/>
                <w:iCs/>
                <w:sz w:val="24"/>
                <w:szCs w:val="24"/>
                <w:lang w:eastAsia="ru-RU"/>
              </w:rPr>
              <w:t>Î.C.S. „Premier Energy" S.R.L.;</w:t>
            </w:r>
          </w:p>
          <w:p w14:paraId="59994A1D" w14:textId="652D055C" w:rsidR="008637A4" w:rsidRPr="00407B5E" w:rsidRDefault="008637A4"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„FEE-Nord</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S.A; </w:t>
            </w:r>
          </w:p>
          <w:p w14:paraId="39C9A51E" w14:textId="77777777" w:rsidR="001F3C79" w:rsidRPr="00407B5E" w:rsidRDefault="008637A4" w:rsidP="008637A4">
            <w:pPr>
              <w:pStyle w:val="afb"/>
              <w:numPr>
                <w:ilvl w:val="0"/>
                <w:numId w:val="17"/>
              </w:numPr>
              <w:ind w:left="1447" w:hanging="284"/>
              <w:rPr>
                <w:bCs/>
                <w:iCs/>
                <w:sz w:val="24"/>
                <w:szCs w:val="24"/>
                <w:lang w:val="ro-RO" w:eastAsia="ru-RU"/>
              </w:rPr>
            </w:pPr>
            <w:r w:rsidRPr="00407B5E">
              <w:rPr>
                <w:bCs/>
                <w:iCs/>
                <w:sz w:val="24"/>
                <w:szCs w:val="24"/>
                <w:lang w:eastAsia="ru-RU"/>
              </w:rPr>
              <w:t xml:space="preserve"> </w:t>
            </w:r>
            <w:r w:rsidRPr="00407B5E">
              <w:rPr>
                <w:rFonts w:ascii="Times New Roman" w:hAnsi="Times New Roman"/>
                <w:bCs/>
                <w:iCs/>
                <w:sz w:val="24"/>
                <w:szCs w:val="24"/>
                <w:lang w:eastAsia="ru-RU"/>
              </w:rPr>
              <w:t>„</w:t>
            </w:r>
            <w:proofErr w:type="spellStart"/>
            <w:r w:rsidRPr="00407B5E">
              <w:rPr>
                <w:rFonts w:ascii="Times New Roman" w:hAnsi="Times New Roman"/>
                <w:bCs/>
                <w:iCs/>
                <w:sz w:val="24"/>
                <w:szCs w:val="24"/>
                <w:lang w:eastAsia="ru-RU"/>
              </w:rPr>
              <w:t>Navitas</w:t>
            </w:r>
            <w:proofErr w:type="spellEnd"/>
            <w:r w:rsidRPr="00407B5E">
              <w:rPr>
                <w:rFonts w:ascii="Times New Roman" w:hAnsi="Times New Roman"/>
                <w:bCs/>
                <w:iCs/>
                <w:sz w:val="24"/>
                <w:szCs w:val="24"/>
                <w:lang w:eastAsia="ru-RU"/>
              </w:rPr>
              <w:t xml:space="preserve"> Energy</w:t>
            </w:r>
            <w:r w:rsidR="001F3C79" w:rsidRPr="00407B5E">
              <w:rPr>
                <w:rFonts w:ascii="Times New Roman" w:hAnsi="Times New Roman"/>
                <w:bCs/>
                <w:iCs/>
                <w:sz w:val="24"/>
                <w:szCs w:val="24"/>
                <w:lang w:eastAsia="ru-RU"/>
              </w:rPr>
              <w:t>”</w:t>
            </w:r>
            <w:r w:rsidRPr="00407B5E">
              <w:rPr>
                <w:rFonts w:ascii="Times New Roman" w:hAnsi="Times New Roman"/>
                <w:bCs/>
                <w:iCs/>
                <w:sz w:val="24"/>
                <w:szCs w:val="24"/>
                <w:lang w:eastAsia="ru-RU"/>
              </w:rPr>
              <w:t xml:space="preserve"> S.R.L.</w:t>
            </w:r>
            <w:r w:rsidR="001F3C79" w:rsidRPr="00407B5E">
              <w:rPr>
                <w:rFonts w:ascii="Times New Roman" w:hAnsi="Times New Roman"/>
                <w:bCs/>
                <w:iCs/>
                <w:sz w:val="24"/>
                <w:szCs w:val="24"/>
                <w:lang w:eastAsia="ru-RU"/>
              </w:rPr>
              <w:t>;</w:t>
            </w:r>
          </w:p>
          <w:p w14:paraId="756888A1" w14:textId="77777777" w:rsidR="001F3C79" w:rsidRPr="00407B5E" w:rsidRDefault="001F3C79"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eastAsia="ru-RU"/>
              </w:rPr>
              <w:t>„ML ENERGY-GROUP” S.R.L.;</w:t>
            </w:r>
          </w:p>
          <w:p w14:paraId="26D0ED10" w14:textId="77777777" w:rsidR="001F3C79" w:rsidRPr="00407B5E" w:rsidRDefault="001F3C79" w:rsidP="008637A4">
            <w:pPr>
              <w:pStyle w:val="afb"/>
              <w:numPr>
                <w:ilvl w:val="0"/>
                <w:numId w:val="17"/>
              </w:numPr>
              <w:ind w:left="1447" w:hanging="284"/>
              <w:rPr>
                <w:bCs/>
                <w:iCs/>
                <w:sz w:val="24"/>
                <w:szCs w:val="24"/>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 </w:t>
            </w:r>
          </w:p>
          <w:p w14:paraId="0FF99D01" w14:textId="51D23C4B" w:rsidR="001F3C79" w:rsidRPr="00407B5E" w:rsidRDefault="001F3C79"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Furnizorii de energie electrică sunt obligați să cumpere de la </w:t>
            </w:r>
            <w:r w:rsidR="00F426D8">
              <w:rPr>
                <w:rFonts w:ascii="Times New Roman" w:hAnsi="Times New Roman"/>
                <w:bCs/>
                <w:iCs/>
                <w:sz w:val="24"/>
                <w:szCs w:val="24"/>
                <w:lang w:val="ro-RO" w:eastAsia="ru-RU"/>
              </w:rPr>
              <w:t>FCEE</w:t>
            </w:r>
            <w:r w:rsidRPr="00407B5E">
              <w:rPr>
                <w:rFonts w:ascii="Times New Roman" w:hAnsi="Times New Roman"/>
                <w:bCs/>
                <w:iCs/>
                <w:sz w:val="24"/>
                <w:szCs w:val="24"/>
                <w:lang w:val="ro-RO" w:eastAsia="ru-RU"/>
              </w:rPr>
              <w:t xml:space="preserve"> cantitățile de energie electrică stabilite de Agenție în conformitate cu Regulile pieței energiei electrice, în funcție de cotele deținute de aceștia pe piața cu amănuntul a energiei electrice, la preturile reglementate aprobate de Agenție. </w:t>
            </w:r>
          </w:p>
          <w:p w14:paraId="50CE425A" w14:textId="56FAF147" w:rsidR="006561E6" w:rsidRPr="00407B5E" w:rsidRDefault="001F3C79"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În conformitate </w:t>
            </w:r>
            <w:r w:rsidR="006561E6" w:rsidRPr="00407B5E">
              <w:rPr>
                <w:rFonts w:ascii="Times New Roman" w:hAnsi="Times New Roman"/>
                <w:bCs/>
                <w:iCs/>
                <w:sz w:val="24"/>
                <w:szCs w:val="24"/>
                <w:lang w:val="ro-RO" w:eastAsia="ru-RU"/>
              </w:rPr>
              <w:t>cu prevederile Regulilor pieței energiei ele</w:t>
            </w:r>
            <w:r w:rsidR="00776D62" w:rsidRPr="00407B5E">
              <w:rPr>
                <w:rFonts w:ascii="Times New Roman" w:hAnsi="Times New Roman"/>
                <w:bCs/>
                <w:iCs/>
                <w:sz w:val="24"/>
                <w:szCs w:val="24"/>
                <w:lang w:val="ro-RO" w:eastAsia="ru-RU"/>
              </w:rPr>
              <w:t>ctrice</w:t>
            </w:r>
            <w:r w:rsidR="006561E6" w:rsidRPr="00407B5E">
              <w:rPr>
                <w:rFonts w:ascii="Times New Roman" w:hAnsi="Times New Roman"/>
                <w:bCs/>
                <w:iCs/>
                <w:sz w:val="24"/>
                <w:szCs w:val="24"/>
                <w:lang w:val="ro-RO" w:eastAsia="ru-RU"/>
              </w:rPr>
              <w:t>, furnizorul central de energie electrică a actualizat cantitățile de energie electrică în baza cărora vor fi determinate cotele lunare de repartizare a energiei electrice:</w:t>
            </w:r>
          </w:p>
          <w:p w14:paraId="55CE8AA9" w14:textId="77777777" w:rsidR="006561E6" w:rsidRPr="00407B5E" w:rsidRDefault="006561E6" w:rsidP="001F3C79">
            <w:pPr>
              <w:pStyle w:val="afb"/>
              <w:ind w:left="29" w:firstLine="567"/>
              <w:rPr>
                <w:rFonts w:ascii="Times New Roman" w:hAnsi="Times New Roman"/>
                <w:bCs/>
                <w:iCs/>
                <w:sz w:val="24"/>
                <w:szCs w:val="24"/>
                <w:lang w:val="ro-RO" w:eastAsia="ru-RU"/>
              </w:rPr>
            </w:pPr>
          </w:p>
          <w:p w14:paraId="207A7537" w14:textId="69DB6CE6" w:rsidR="00776D62" w:rsidRPr="00407B5E" w:rsidRDefault="006561E6"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r w:rsidR="00776D62" w:rsidRPr="00407B5E">
              <w:rPr>
                <w:rFonts w:ascii="Times New Roman" w:hAnsi="Times New Roman"/>
                <w:bCs/>
                <w:iCs/>
                <w:sz w:val="24"/>
                <w:szCs w:val="24"/>
                <w:lang w:val="ro-RO" w:eastAsia="ru-RU"/>
              </w:rPr>
              <w:t xml:space="preserve"> </w:t>
            </w:r>
            <w:r w:rsidRPr="00407B5E">
              <w:rPr>
                <w:rFonts w:ascii="Times New Roman" w:hAnsi="Times New Roman"/>
                <w:bCs/>
                <w:iCs/>
                <w:sz w:val="24"/>
                <w:szCs w:val="24"/>
                <w:lang w:val="ro-RO" w:eastAsia="ru-RU"/>
              </w:rPr>
              <w:t xml:space="preserve">începând cu 1 ianuarie </w:t>
            </w:r>
            <w:r w:rsidR="00776D62" w:rsidRPr="00407B5E">
              <w:rPr>
                <w:rFonts w:ascii="Times New Roman" w:hAnsi="Times New Roman"/>
                <w:bCs/>
                <w:iCs/>
                <w:sz w:val="24"/>
                <w:szCs w:val="24"/>
                <w:lang w:val="ro-RO" w:eastAsia="ru-RU"/>
              </w:rPr>
              <w:t>2026 pentru furnizorii menționați</w:t>
            </w:r>
          </w:p>
          <w:p w14:paraId="0F5FE6CC" w14:textId="77777777" w:rsidR="00776D62" w:rsidRPr="00407B5E" w:rsidRDefault="00776D62" w:rsidP="001F3C79">
            <w:pPr>
              <w:pStyle w:val="afb"/>
              <w:ind w:left="29" w:firstLine="567"/>
              <w:rPr>
                <w:rFonts w:ascii="Times New Roman" w:hAnsi="Times New Roman"/>
                <w:bCs/>
                <w:iCs/>
                <w:sz w:val="24"/>
                <w:szCs w:val="24"/>
                <w:lang w:val="ro-RO" w:eastAsia="ru-RU"/>
              </w:rPr>
            </w:pPr>
          </w:p>
          <w:tbl>
            <w:tblPr>
              <w:tblStyle w:val="afa"/>
              <w:tblW w:w="0" w:type="auto"/>
              <w:tblInd w:w="29" w:type="dxa"/>
              <w:tblLook w:val="04A0" w:firstRow="1" w:lastRow="0" w:firstColumn="1" w:lastColumn="0" w:noHBand="0" w:noVBand="1"/>
            </w:tblPr>
            <w:tblGrid>
              <w:gridCol w:w="4427"/>
              <w:gridCol w:w="4427"/>
            </w:tblGrid>
            <w:tr w:rsidR="00407B5E" w:rsidRPr="00407B5E" w14:paraId="5B27E3F2" w14:textId="77777777" w:rsidTr="00776D62">
              <w:tc>
                <w:tcPr>
                  <w:tcW w:w="4441" w:type="dxa"/>
                  <w:vAlign w:val="center"/>
                </w:tcPr>
                <w:p w14:paraId="059886F8" w14:textId="26A75880" w:rsidR="00776D62" w:rsidRPr="002E6FC8" w:rsidRDefault="00776D62" w:rsidP="00776D62">
                  <w:pPr>
                    <w:pStyle w:val="afb"/>
                    <w:ind w:left="0" w:firstLine="0"/>
                    <w:jc w:val="center"/>
                    <w:rPr>
                      <w:rFonts w:ascii="Times New Roman" w:hAnsi="Times New Roman"/>
                      <w:b/>
                      <w:bCs/>
                      <w:iCs/>
                      <w:sz w:val="22"/>
                      <w:szCs w:val="22"/>
                      <w:lang w:val="ro-RO" w:eastAsia="ru-RU"/>
                    </w:rPr>
                  </w:pPr>
                  <w:r w:rsidRPr="002E6FC8">
                    <w:rPr>
                      <w:b/>
                      <w:bCs/>
                      <w:iCs/>
                      <w:sz w:val="22"/>
                      <w:szCs w:val="22"/>
                      <w:lang w:val="ro-RO" w:eastAsia="ru-RU"/>
                    </w:rPr>
                    <w:t>Denumirea furnizorului</w:t>
                  </w:r>
                </w:p>
              </w:tc>
              <w:tc>
                <w:tcPr>
                  <w:tcW w:w="4442" w:type="dxa"/>
                </w:tcPr>
                <w:p w14:paraId="477E8101" w14:textId="563722ED" w:rsidR="00776D62" w:rsidRPr="002E6FC8" w:rsidRDefault="00776D62" w:rsidP="00776D62">
                  <w:pPr>
                    <w:pStyle w:val="afb"/>
                    <w:ind w:left="0" w:firstLine="0"/>
                    <w:rPr>
                      <w:rFonts w:ascii="Times New Roman" w:hAnsi="Times New Roman"/>
                      <w:b/>
                      <w:bCs/>
                      <w:iCs/>
                      <w:sz w:val="22"/>
                      <w:szCs w:val="22"/>
                      <w:lang w:val="ro-RO" w:eastAsia="ru-RU"/>
                    </w:rPr>
                  </w:pPr>
                  <w:r w:rsidRPr="002E6FC8">
                    <w:rPr>
                      <w:b/>
                      <w:bCs/>
                      <w:iCs/>
                      <w:sz w:val="22"/>
                      <w:szCs w:val="22"/>
                      <w:lang w:val="ro-RO" w:eastAsia="ru-RU"/>
                    </w:rPr>
                    <w:t>Cantitatea de energie electrică, mii kWh</w:t>
                  </w:r>
                </w:p>
              </w:tc>
            </w:tr>
            <w:tr w:rsidR="00407B5E" w:rsidRPr="00407B5E" w14:paraId="2D755FDE" w14:textId="77777777" w:rsidTr="00776D62">
              <w:tc>
                <w:tcPr>
                  <w:tcW w:w="4441" w:type="dxa"/>
                </w:tcPr>
                <w:p w14:paraId="246099ED" w14:textId="2598FE2A"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Î.C.S. „Premier Energy" S.R.L</w:t>
                  </w:r>
                </w:p>
              </w:tc>
              <w:tc>
                <w:tcPr>
                  <w:tcW w:w="4442" w:type="dxa"/>
                </w:tcPr>
                <w:p w14:paraId="28FDD8DD" w14:textId="6BCA6512"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3 132 595,857</w:t>
                  </w:r>
                </w:p>
              </w:tc>
            </w:tr>
            <w:tr w:rsidR="00407B5E" w:rsidRPr="00407B5E" w14:paraId="17C1703A" w14:textId="77777777" w:rsidTr="00776D62">
              <w:tc>
                <w:tcPr>
                  <w:tcW w:w="4441" w:type="dxa"/>
                </w:tcPr>
                <w:p w14:paraId="0AEB895D" w14:textId="434E77A4"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„FEE-Nord” S.A</w:t>
                  </w:r>
                </w:p>
              </w:tc>
              <w:tc>
                <w:tcPr>
                  <w:tcW w:w="4442" w:type="dxa"/>
                </w:tcPr>
                <w:p w14:paraId="090173BB" w14:textId="090AD3C3"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984 982,945</w:t>
                  </w:r>
                </w:p>
              </w:tc>
            </w:tr>
            <w:tr w:rsidR="00407B5E" w:rsidRPr="00407B5E" w14:paraId="736E19ED" w14:textId="77777777" w:rsidTr="00776D62">
              <w:tc>
                <w:tcPr>
                  <w:tcW w:w="4441" w:type="dxa"/>
                </w:tcPr>
                <w:p w14:paraId="72FB29BF" w14:textId="6DA25186"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w:t>
                  </w:r>
                  <w:proofErr w:type="spellStart"/>
                  <w:r w:rsidRPr="00407B5E">
                    <w:rPr>
                      <w:rFonts w:ascii="Times New Roman" w:hAnsi="Times New Roman"/>
                      <w:bCs/>
                      <w:iCs/>
                      <w:sz w:val="22"/>
                      <w:szCs w:val="22"/>
                      <w:lang w:eastAsia="ru-RU"/>
                    </w:rPr>
                    <w:t>Navitas</w:t>
                  </w:r>
                  <w:proofErr w:type="spellEnd"/>
                  <w:r w:rsidRPr="00407B5E">
                    <w:rPr>
                      <w:rFonts w:ascii="Times New Roman" w:hAnsi="Times New Roman"/>
                      <w:bCs/>
                      <w:iCs/>
                      <w:sz w:val="22"/>
                      <w:szCs w:val="22"/>
                      <w:lang w:eastAsia="ru-RU"/>
                    </w:rPr>
                    <w:t xml:space="preserve"> Energy” S.R.L.</w:t>
                  </w:r>
                </w:p>
              </w:tc>
              <w:tc>
                <w:tcPr>
                  <w:tcW w:w="4442" w:type="dxa"/>
                </w:tcPr>
                <w:p w14:paraId="287D8BEF" w14:textId="1AB71A66"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38 670,093</w:t>
                  </w:r>
                </w:p>
              </w:tc>
            </w:tr>
            <w:tr w:rsidR="00407B5E" w:rsidRPr="00407B5E" w14:paraId="42651157" w14:textId="77777777" w:rsidTr="00776D62">
              <w:tc>
                <w:tcPr>
                  <w:tcW w:w="4441" w:type="dxa"/>
                </w:tcPr>
                <w:p w14:paraId="61E58B96" w14:textId="32986C0D"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„ML ENERGY-GROUP” S.R.L.</w:t>
                  </w:r>
                </w:p>
              </w:tc>
              <w:tc>
                <w:tcPr>
                  <w:tcW w:w="4442" w:type="dxa"/>
                </w:tcPr>
                <w:p w14:paraId="3E28E850" w14:textId="24DF35C1"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5 263,067</w:t>
                  </w:r>
                </w:p>
              </w:tc>
            </w:tr>
            <w:tr w:rsidR="00407B5E" w:rsidRPr="00407B5E" w14:paraId="19BB996A" w14:textId="77777777" w:rsidTr="00776D62">
              <w:tc>
                <w:tcPr>
                  <w:tcW w:w="4441" w:type="dxa"/>
                </w:tcPr>
                <w:p w14:paraId="3A570D00" w14:textId="0BF04498" w:rsidR="00776D62" w:rsidRPr="00407B5E" w:rsidRDefault="00776D62" w:rsidP="001F3C79">
                  <w:pPr>
                    <w:pStyle w:val="afb"/>
                    <w:ind w:left="0" w:firstLine="0"/>
                    <w:rPr>
                      <w:rFonts w:ascii="Times New Roman" w:hAnsi="Times New Roman"/>
                      <w:bCs/>
                      <w:iCs/>
                      <w:sz w:val="22"/>
                      <w:szCs w:val="22"/>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w:t>
                  </w:r>
                </w:p>
              </w:tc>
              <w:tc>
                <w:tcPr>
                  <w:tcW w:w="4442" w:type="dxa"/>
                </w:tcPr>
                <w:p w14:paraId="389A7D09" w14:textId="3932613E" w:rsidR="00776D62" w:rsidRPr="00407B5E" w:rsidRDefault="0036280D" w:rsidP="00776D62">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74 171,385</w:t>
                  </w:r>
                </w:p>
              </w:tc>
            </w:tr>
          </w:tbl>
          <w:p w14:paraId="232BA237" w14:textId="77777777" w:rsidR="00776D62" w:rsidRPr="00407B5E" w:rsidRDefault="00776D62" w:rsidP="001F3C79">
            <w:pPr>
              <w:pStyle w:val="afb"/>
              <w:ind w:left="29" w:firstLine="567"/>
              <w:rPr>
                <w:rFonts w:ascii="Times New Roman" w:hAnsi="Times New Roman"/>
                <w:bCs/>
                <w:iCs/>
                <w:sz w:val="24"/>
                <w:szCs w:val="24"/>
                <w:lang w:val="ro-RO" w:eastAsia="ru-RU"/>
              </w:rPr>
            </w:pPr>
          </w:p>
          <w:p w14:paraId="23E7EB63" w14:textId="2E5428CD" w:rsidR="00A02A31" w:rsidRPr="00407B5E" w:rsidRDefault="0036280D" w:rsidP="00A02A31">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lastRenderedPageBreak/>
              <w:t xml:space="preserve">Pe perioada </w:t>
            </w:r>
            <w:r w:rsidR="005D5943" w:rsidRPr="00407B5E">
              <w:rPr>
                <w:rFonts w:ascii="Times New Roman" w:hAnsi="Times New Roman"/>
                <w:bCs/>
                <w:iCs/>
                <w:sz w:val="24"/>
                <w:szCs w:val="24"/>
                <w:lang w:val="ro-RO" w:eastAsia="ru-RU"/>
              </w:rPr>
              <w:t xml:space="preserve">a 11 luni a </w:t>
            </w:r>
            <w:r w:rsidRPr="00407B5E">
              <w:rPr>
                <w:rFonts w:ascii="Times New Roman" w:hAnsi="Times New Roman"/>
                <w:bCs/>
                <w:iCs/>
                <w:sz w:val="24"/>
                <w:szCs w:val="24"/>
                <w:lang w:val="ro-RO" w:eastAsia="ru-RU"/>
              </w:rPr>
              <w:t>anului 2025 furnizorii menționați au procurat următoarele cantități de energie electrică de la furnizorul central de energie electrică</w:t>
            </w:r>
          </w:p>
          <w:p w14:paraId="2F452C76" w14:textId="77777777" w:rsidR="0036280D" w:rsidRPr="00407B5E" w:rsidRDefault="0036280D" w:rsidP="001F3C79">
            <w:pPr>
              <w:pStyle w:val="afb"/>
              <w:ind w:left="29" w:firstLine="567"/>
              <w:rPr>
                <w:rFonts w:ascii="Times New Roman" w:hAnsi="Times New Roman"/>
                <w:bCs/>
                <w:iCs/>
                <w:sz w:val="24"/>
                <w:szCs w:val="24"/>
                <w:lang w:val="ro-RO" w:eastAsia="ru-RU"/>
              </w:rPr>
            </w:pPr>
          </w:p>
          <w:tbl>
            <w:tblPr>
              <w:tblStyle w:val="afa"/>
              <w:tblW w:w="0" w:type="auto"/>
              <w:tblInd w:w="29" w:type="dxa"/>
              <w:tblLook w:val="04A0" w:firstRow="1" w:lastRow="0" w:firstColumn="1" w:lastColumn="0" w:noHBand="0" w:noVBand="1"/>
            </w:tblPr>
            <w:tblGrid>
              <w:gridCol w:w="4427"/>
              <w:gridCol w:w="4427"/>
            </w:tblGrid>
            <w:tr w:rsidR="00407B5E" w:rsidRPr="00407B5E" w14:paraId="52A78719" w14:textId="77777777" w:rsidTr="00CB0AFE">
              <w:tc>
                <w:tcPr>
                  <w:tcW w:w="4441" w:type="dxa"/>
                  <w:vAlign w:val="center"/>
                </w:tcPr>
                <w:p w14:paraId="65665FDA" w14:textId="77777777" w:rsidR="0036280D" w:rsidRPr="002E6FC8" w:rsidRDefault="0036280D" w:rsidP="0036280D">
                  <w:pPr>
                    <w:pStyle w:val="afb"/>
                    <w:ind w:left="0" w:firstLine="0"/>
                    <w:jc w:val="center"/>
                    <w:rPr>
                      <w:rFonts w:ascii="Times New Roman" w:hAnsi="Times New Roman"/>
                      <w:b/>
                      <w:bCs/>
                      <w:iCs/>
                      <w:sz w:val="22"/>
                      <w:szCs w:val="22"/>
                      <w:lang w:val="ro-RO" w:eastAsia="ru-RU"/>
                    </w:rPr>
                  </w:pPr>
                  <w:r w:rsidRPr="002E6FC8">
                    <w:rPr>
                      <w:b/>
                      <w:bCs/>
                      <w:iCs/>
                      <w:sz w:val="22"/>
                      <w:szCs w:val="22"/>
                      <w:lang w:val="ro-RO" w:eastAsia="ru-RU"/>
                    </w:rPr>
                    <w:t>Denumirea furnizorului</w:t>
                  </w:r>
                </w:p>
              </w:tc>
              <w:tc>
                <w:tcPr>
                  <w:tcW w:w="4442" w:type="dxa"/>
                </w:tcPr>
                <w:p w14:paraId="23782170" w14:textId="2E6F6890" w:rsidR="0036280D" w:rsidRPr="002E6FC8" w:rsidRDefault="0036280D" w:rsidP="005D5943">
                  <w:pPr>
                    <w:pStyle w:val="afb"/>
                    <w:ind w:left="0" w:firstLine="0"/>
                    <w:rPr>
                      <w:rFonts w:ascii="Times New Roman" w:hAnsi="Times New Roman"/>
                      <w:b/>
                      <w:bCs/>
                      <w:iCs/>
                      <w:sz w:val="22"/>
                      <w:szCs w:val="22"/>
                      <w:lang w:val="ro-RO" w:eastAsia="ru-RU"/>
                    </w:rPr>
                  </w:pPr>
                  <w:r w:rsidRPr="002E6FC8">
                    <w:rPr>
                      <w:b/>
                      <w:bCs/>
                      <w:iCs/>
                      <w:sz w:val="22"/>
                      <w:szCs w:val="22"/>
                      <w:lang w:val="ro-RO" w:eastAsia="ru-RU"/>
                    </w:rPr>
                    <w:t>Cantitatea de energie electrică, kWh</w:t>
                  </w:r>
                </w:p>
              </w:tc>
            </w:tr>
            <w:tr w:rsidR="00407B5E" w:rsidRPr="00407B5E" w14:paraId="052BAF37" w14:textId="77777777" w:rsidTr="00CB0AFE">
              <w:tc>
                <w:tcPr>
                  <w:tcW w:w="4441" w:type="dxa"/>
                </w:tcPr>
                <w:p w14:paraId="7FF6B9DF"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Î.C.S. „Premier Energy" S.R.L</w:t>
                  </w:r>
                </w:p>
              </w:tc>
              <w:tc>
                <w:tcPr>
                  <w:tcW w:w="4442" w:type="dxa"/>
                </w:tcPr>
                <w:p w14:paraId="3745A084" w14:textId="0F926168"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617 203 929</w:t>
                  </w:r>
                </w:p>
              </w:tc>
            </w:tr>
            <w:tr w:rsidR="00407B5E" w:rsidRPr="00407B5E" w14:paraId="2BD1EA5B" w14:textId="77777777" w:rsidTr="00CB0AFE">
              <w:tc>
                <w:tcPr>
                  <w:tcW w:w="4441" w:type="dxa"/>
                </w:tcPr>
                <w:p w14:paraId="77ED7A7D"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„FEE-Nord” S.A</w:t>
                  </w:r>
                </w:p>
              </w:tc>
              <w:tc>
                <w:tcPr>
                  <w:tcW w:w="4442" w:type="dxa"/>
                </w:tcPr>
                <w:p w14:paraId="6C80FF60" w14:textId="74C61953"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202 612 629</w:t>
                  </w:r>
                </w:p>
              </w:tc>
            </w:tr>
            <w:tr w:rsidR="00407B5E" w:rsidRPr="00407B5E" w14:paraId="627D78DB" w14:textId="77777777" w:rsidTr="00CB0AFE">
              <w:tc>
                <w:tcPr>
                  <w:tcW w:w="4441" w:type="dxa"/>
                </w:tcPr>
                <w:p w14:paraId="2F186EDD"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w:t>
                  </w:r>
                  <w:proofErr w:type="spellStart"/>
                  <w:r w:rsidRPr="00407B5E">
                    <w:rPr>
                      <w:rFonts w:ascii="Times New Roman" w:hAnsi="Times New Roman"/>
                      <w:bCs/>
                      <w:iCs/>
                      <w:sz w:val="22"/>
                      <w:szCs w:val="22"/>
                      <w:lang w:eastAsia="ru-RU"/>
                    </w:rPr>
                    <w:t>Navitas</w:t>
                  </w:r>
                  <w:proofErr w:type="spellEnd"/>
                  <w:r w:rsidRPr="00407B5E">
                    <w:rPr>
                      <w:rFonts w:ascii="Times New Roman" w:hAnsi="Times New Roman"/>
                      <w:bCs/>
                      <w:iCs/>
                      <w:sz w:val="22"/>
                      <w:szCs w:val="22"/>
                      <w:lang w:eastAsia="ru-RU"/>
                    </w:rPr>
                    <w:t xml:space="preserve"> Energy” S.R.L.</w:t>
                  </w:r>
                </w:p>
              </w:tc>
              <w:tc>
                <w:tcPr>
                  <w:tcW w:w="4442" w:type="dxa"/>
                </w:tcPr>
                <w:p w14:paraId="5761EAE7" w14:textId="4527174F"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4 090 970</w:t>
                  </w:r>
                </w:p>
              </w:tc>
            </w:tr>
            <w:tr w:rsidR="00407B5E" w:rsidRPr="00407B5E" w14:paraId="151269F6" w14:textId="77777777" w:rsidTr="00CB0AFE">
              <w:tc>
                <w:tcPr>
                  <w:tcW w:w="4441" w:type="dxa"/>
                </w:tcPr>
                <w:p w14:paraId="02925AB4"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2"/>
                      <w:szCs w:val="22"/>
                      <w:lang w:eastAsia="ru-RU"/>
                    </w:rPr>
                    <w:t>„ML ENERGY-GROUP” S.R.L.</w:t>
                  </w:r>
                </w:p>
              </w:tc>
              <w:tc>
                <w:tcPr>
                  <w:tcW w:w="4442" w:type="dxa"/>
                </w:tcPr>
                <w:p w14:paraId="43AE6982" w14:textId="38033025"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1 766 154</w:t>
                  </w:r>
                </w:p>
              </w:tc>
            </w:tr>
            <w:tr w:rsidR="00407B5E" w:rsidRPr="00407B5E" w14:paraId="104386D9" w14:textId="77777777" w:rsidTr="00CB0AFE">
              <w:tc>
                <w:tcPr>
                  <w:tcW w:w="4441" w:type="dxa"/>
                </w:tcPr>
                <w:p w14:paraId="7E77C2A7" w14:textId="77777777" w:rsidR="0036280D" w:rsidRPr="00407B5E" w:rsidRDefault="0036280D" w:rsidP="0036280D">
                  <w:pPr>
                    <w:pStyle w:val="afb"/>
                    <w:ind w:left="0" w:firstLine="0"/>
                    <w:rPr>
                      <w:rFonts w:ascii="Times New Roman" w:hAnsi="Times New Roman"/>
                      <w:bCs/>
                      <w:iCs/>
                      <w:sz w:val="22"/>
                      <w:szCs w:val="22"/>
                      <w:lang w:val="ro-RO" w:eastAsia="ru-RU"/>
                    </w:rPr>
                  </w:pPr>
                  <w:r w:rsidRPr="00407B5E">
                    <w:rPr>
                      <w:rFonts w:ascii="Times New Roman" w:hAnsi="Times New Roman"/>
                      <w:bCs/>
                      <w:iCs/>
                      <w:sz w:val="24"/>
                      <w:szCs w:val="24"/>
                      <w:lang w:val="ro-RO" w:eastAsia="ru-RU"/>
                    </w:rPr>
                    <w:t>„</w:t>
                  </w:r>
                  <w:proofErr w:type="spellStart"/>
                  <w:r w:rsidRPr="00407B5E">
                    <w:rPr>
                      <w:rFonts w:ascii="Times New Roman" w:hAnsi="Times New Roman"/>
                      <w:bCs/>
                      <w:iCs/>
                      <w:sz w:val="24"/>
                      <w:szCs w:val="24"/>
                      <w:lang w:eastAsia="ru-RU"/>
                    </w:rPr>
                    <w:t>M.Energy</w:t>
                  </w:r>
                  <w:proofErr w:type="spellEnd"/>
                  <w:r w:rsidRPr="00407B5E">
                    <w:rPr>
                      <w:rFonts w:ascii="Times New Roman" w:hAnsi="Times New Roman"/>
                      <w:bCs/>
                      <w:iCs/>
                      <w:sz w:val="24"/>
                      <w:szCs w:val="24"/>
                      <w:lang w:eastAsia="ru-RU"/>
                    </w:rPr>
                    <w:t xml:space="preserve"> Trading” S.R.L.</w:t>
                  </w:r>
                </w:p>
              </w:tc>
              <w:tc>
                <w:tcPr>
                  <w:tcW w:w="4442" w:type="dxa"/>
                </w:tcPr>
                <w:p w14:paraId="53737B06" w14:textId="41D28AE4" w:rsidR="0036280D" w:rsidRPr="00407B5E" w:rsidRDefault="005D5943" w:rsidP="0036280D">
                  <w:pPr>
                    <w:pStyle w:val="afb"/>
                    <w:ind w:left="0" w:firstLine="0"/>
                    <w:jc w:val="center"/>
                    <w:rPr>
                      <w:rFonts w:ascii="Times New Roman" w:hAnsi="Times New Roman"/>
                      <w:bCs/>
                      <w:iCs/>
                      <w:sz w:val="22"/>
                      <w:szCs w:val="22"/>
                      <w:lang w:val="ro-RO" w:eastAsia="ru-RU"/>
                    </w:rPr>
                  </w:pPr>
                  <w:r w:rsidRPr="00407B5E">
                    <w:rPr>
                      <w:rFonts w:ascii="Times New Roman" w:hAnsi="Times New Roman"/>
                      <w:bCs/>
                      <w:iCs/>
                      <w:sz w:val="22"/>
                      <w:szCs w:val="22"/>
                      <w:lang w:val="ro-RO" w:eastAsia="ru-RU"/>
                    </w:rPr>
                    <w:t>7 421 493</w:t>
                  </w:r>
                </w:p>
              </w:tc>
            </w:tr>
          </w:tbl>
          <w:p w14:paraId="4539D3CF" w14:textId="75C8B142" w:rsidR="00776D62" w:rsidRPr="00407B5E" w:rsidRDefault="0036280D" w:rsidP="001F3C79">
            <w:pPr>
              <w:pStyle w:val="afb"/>
              <w:ind w:left="29" w:firstLine="567"/>
              <w:rPr>
                <w:rFonts w:ascii="Times New Roman" w:hAnsi="Times New Roman"/>
                <w:bCs/>
                <w:iCs/>
                <w:sz w:val="24"/>
                <w:szCs w:val="24"/>
                <w:lang w:val="ro-RO" w:eastAsia="ru-RU"/>
              </w:rPr>
            </w:pPr>
            <w:r w:rsidRPr="00407B5E">
              <w:rPr>
                <w:rFonts w:ascii="Times New Roman" w:hAnsi="Times New Roman"/>
                <w:bCs/>
                <w:iCs/>
                <w:sz w:val="24"/>
                <w:szCs w:val="24"/>
                <w:lang w:val="ro-RO" w:eastAsia="ru-RU"/>
              </w:rPr>
              <w:t xml:space="preserve">  </w:t>
            </w:r>
          </w:p>
          <w:p w14:paraId="773954E7" w14:textId="095FFCA4" w:rsidR="00FF45C7" w:rsidRPr="00407B5E" w:rsidRDefault="004715E7" w:rsidP="00FF45C7">
            <w:pPr>
              <w:rPr>
                <w:rFonts w:ascii="Times New Roman" w:hAnsi="Times New Roman"/>
                <w:sz w:val="24"/>
                <w:szCs w:val="24"/>
                <w:lang w:val="ro-RO"/>
              </w:rPr>
            </w:pPr>
            <w:r w:rsidRPr="00407B5E">
              <w:rPr>
                <w:rFonts w:ascii="Times New Roman" w:hAnsi="Times New Roman"/>
                <w:sz w:val="24"/>
                <w:szCs w:val="24"/>
                <w:lang w:val="ro-RO"/>
              </w:rPr>
              <w:t>Cauza primordială</w:t>
            </w:r>
            <w:r w:rsidR="008051FF" w:rsidRPr="00407B5E">
              <w:rPr>
                <w:rFonts w:ascii="Times New Roman" w:hAnsi="Times New Roman"/>
                <w:sz w:val="24"/>
                <w:szCs w:val="24"/>
                <w:lang w:val="ro-RO"/>
              </w:rPr>
              <w:t xml:space="preserve"> care </w:t>
            </w:r>
            <w:r w:rsidR="00993855" w:rsidRPr="00407B5E">
              <w:rPr>
                <w:rFonts w:ascii="Times New Roman" w:hAnsi="Times New Roman"/>
                <w:sz w:val="24"/>
                <w:szCs w:val="24"/>
                <w:lang w:val="ro-RO"/>
              </w:rPr>
              <w:t>a</w:t>
            </w:r>
            <w:r w:rsidRPr="00407B5E">
              <w:rPr>
                <w:rFonts w:ascii="Times New Roman" w:hAnsi="Times New Roman"/>
                <w:sz w:val="24"/>
                <w:szCs w:val="24"/>
                <w:lang w:val="ro-RO"/>
              </w:rPr>
              <w:t xml:space="preserve"> dus la apariția problemei</w:t>
            </w:r>
            <w:r w:rsidR="008051FF" w:rsidRPr="00407B5E">
              <w:rPr>
                <w:rFonts w:ascii="Times New Roman" w:hAnsi="Times New Roman"/>
                <w:sz w:val="24"/>
                <w:szCs w:val="24"/>
                <w:lang w:val="ro-RO"/>
              </w:rPr>
              <w:t xml:space="preserve"> enunțat</w:t>
            </w:r>
            <w:r w:rsidR="00F426D8">
              <w:rPr>
                <w:rFonts w:ascii="Times New Roman" w:hAnsi="Times New Roman"/>
                <w:sz w:val="24"/>
                <w:szCs w:val="24"/>
                <w:lang w:val="ro-RO"/>
              </w:rPr>
              <w:t>ă</w:t>
            </w:r>
            <w:r w:rsidR="008051FF" w:rsidRPr="00407B5E">
              <w:rPr>
                <w:rFonts w:ascii="Times New Roman" w:hAnsi="Times New Roman"/>
                <w:sz w:val="24"/>
                <w:szCs w:val="24"/>
                <w:lang w:val="ro-RO"/>
              </w:rPr>
              <w:t xml:space="preserve"> </w:t>
            </w:r>
            <w:r w:rsidRPr="00407B5E">
              <w:rPr>
                <w:rFonts w:ascii="Times New Roman" w:hAnsi="Times New Roman"/>
                <w:sz w:val="24"/>
                <w:szCs w:val="24"/>
                <w:lang w:val="ro-RO"/>
              </w:rPr>
              <w:t>este</w:t>
            </w:r>
            <w:r w:rsidR="00FF45C7" w:rsidRPr="00407B5E">
              <w:rPr>
                <w:rFonts w:ascii="Times New Roman" w:hAnsi="Times New Roman"/>
                <w:sz w:val="24"/>
                <w:szCs w:val="24"/>
                <w:lang w:val="ro-RO"/>
              </w:rPr>
              <w:t>:</w:t>
            </w:r>
          </w:p>
          <w:p w14:paraId="263C7F0E" w14:textId="77777777" w:rsidR="00FF45C7" w:rsidRPr="00407B5E" w:rsidRDefault="00FF45C7" w:rsidP="00FF45C7">
            <w:pPr>
              <w:rPr>
                <w:rFonts w:ascii="Times New Roman" w:hAnsi="Times New Roman"/>
                <w:sz w:val="24"/>
                <w:szCs w:val="24"/>
                <w:lang w:val="ro-RO"/>
              </w:rPr>
            </w:pPr>
          </w:p>
          <w:p w14:paraId="6FC90C8B" w14:textId="42C2EEFD" w:rsidR="00FF45C7" w:rsidRPr="00407B5E" w:rsidRDefault="00D14528" w:rsidP="009557CC">
            <w:pPr>
              <w:pStyle w:val="afb"/>
              <w:numPr>
                <w:ilvl w:val="0"/>
                <w:numId w:val="9"/>
              </w:numPr>
              <w:rPr>
                <w:rFonts w:ascii="Times New Roman" w:hAnsi="Times New Roman"/>
                <w:sz w:val="24"/>
                <w:szCs w:val="24"/>
                <w:lang w:val="ro-RO"/>
              </w:rPr>
            </w:pPr>
            <w:r>
              <w:rPr>
                <w:rFonts w:ascii="Times New Roman" w:hAnsi="Times New Roman"/>
                <w:sz w:val="24"/>
                <w:szCs w:val="24"/>
                <w:lang w:val="ro-RO"/>
              </w:rPr>
              <w:t xml:space="preserve">Modificarea cadrului normativ primar și anume Legea 10/2016 și respectiv apariția unor componente de cost noi care urmează a fi reflectate în </w:t>
            </w:r>
            <w:r w:rsidR="008051FF" w:rsidRPr="00407B5E">
              <w:rPr>
                <w:rFonts w:ascii="Times New Roman" w:hAnsi="Times New Roman"/>
                <w:sz w:val="24"/>
                <w:szCs w:val="24"/>
                <w:lang w:val="ro-RO"/>
              </w:rPr>
              <w:t xml:space="preserve"> </w:t>
            </w:r>
            <w:r w:rsidR="00993855" w:rsidRPr="00407B5E">
              <w:rPr>
                <w:rFonts w:ascii="Times New Roman" w:hAnsi="Times New Roman"/>
                <w:sz w:val="24"/>
                <w:szCs w:val="24"/>
                <w:lang w:val="ro-RO"/>
              </w:rPr>
              <w:t>Metodologi</w:t>
            </w:r>
            <w:r>
              <w:rPr>
                <w:rFonts w:ascii="Times New Roman" w:hAnsi="Times New Roman"/>
                <w:sz w:val="24"/>
                <w:szCs w:val="24"/>
                <w:lang w:val="ro-RO"/>
              </w:rPr>
              <w:t>e</w:t>
            </w:r>
            <w:r w:rsidR="004715E7" w:rsidRPr="00407B5E">
              <w:rPr>
                <w:rFonts w:ascii="Times New Roman" w:hAnsi="Times New Roman"/>
                <w:sz w:val="24"/>
                <w:szCs w:val="24"/>
                <w:lang w:val="ro-RO"/>
              </w:rPr>
              <w:t>.</w:t>
            </w:r>
          </w:p>
          <w:p w14:paraId="21767EAB" w14:textId="77777777" w:rsidR="00FF45C7" w:rsidRPr="00407B5E" w:rsidRDefault="00FF45C7" w:rsidP="009557CC">
            <w:pPr>
              <w:pStyle w:val="afb"/>
              <w:ind w:left="1489" w:firstLine="0"/>
              <w:rPr>
                <w:rFonts w:ascii="Times New Roman" w:hAnsi="Times New Roman"/>
                <w:sz w:val="24"/>
                <w:szCs w:val="24"/>
                <w:lang w:val="ro-RO"/>
              </w:rPr>
            </w:pPr>
          </w:p>
          <w:p w14:paraId="7AF8A9C7" w14:textId="6F824AC2" w:rsidR="00FF45C7" w:rsidRPr="00407B5E" w:rsidRDefault="00FF45C7" w:rsidP="004715E7">
            <w:pPr>
              <w:pStyle w:val="afb"/>
              <w:ind w:left="1489" w:firstLine="0"/>
              <w:rPr>
                <w:rFonts w:ascii="Times New Roman" w:hAnsi="Times New Roman"/>
                <w:sz w:val="24"/>
                <w:szCs w:val="24"/>
                <w:lang w:val="ro-RO"/>
              </w:rPr>
            </w:pPr>
          </w:p>
        </w:tc>
      </w:tr>
      <w:tr w:rsidR="00407B5E" w:rsidRPr="00407B5E"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18E5D76" w14:textId="77777777" w:rsidR="00D927DB"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lastRenderedPageBreak/>
              <w:t>3.</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Obiectivele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urmărite</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solu</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propuse</w:t>
            </w:r>
          </w:p>
          <w:p w14:paraId="1D7C19CC" w14:textId="77777777" w:rsidR="00FF45C7" w:rsidRPr="00407B5E" w:rsidRDefault="00FF45C7" w:rsidP="00FF45C7">
            <w:pPr>
              <w:ind w:firstLine="590"/>
              <w:rPr>
                <w:rFonts w:ascii="Times New Roman" w:hAnsi="Times New Roman"/>
                <w:sz w:val="24"/>
                <w:szCs w:val="24"/>
                <w:lang w:val="ro-RO"/>
              </w:rPr>
            </w:pPr>
          </w:p>
          <w:p w14:paraId="7C372F61" w14:textId="76184E2D" w:rsidR="00FF45C7" w:rsidRPr="00407B5E" w:rsidRDefault="00FF45C7" w:rsidP="00FF45C7">
            <w:pPr>
              <w:ind w:firstLine="590"/>
              <w:rPr>
                <w:rFonts w:ascii="Times New Roman" w:hAnsi="Times New Roman"/>
                <w:sz w:val="24"/>
                <w:szCs w:val="24"/>
                <w:lang w:val="ro-RO"/>
              </w:rPr>
            </w:pPr>
            <w:r w:rsidRPr="00407B5E">
              <w:rPr>
                <w:rFonts w:ascii="Times New Roman" w:hAnsi="Times New Roman"/>
                <w:sz w:val="24"/>
                <w:szCs w:val="24"/>
                <w:lang w:val="ro-RO"/>
              </w:rPr>
              <w:t xml:space="preserve">Principalele obiective urmărite de intervenția de reglementare sunt următoarele: </w:t>
            </w:r>
          </w:p>
          <w:p w14:paraId="6C2185E3" w14:textId="77777777" w:rsidR="00FF45C7" w:rsidRPr="00407B5E" w:rsidRDefault="00FF45C7" w:rsidP="00FF45C7">
            <w:pPr>
              <w:ind w:firstLine="590"/>
              <w:rPr>
                <w:rFonts w:ascii="Times New Roman" w:hAnsi="Times New Roman"/>
                <w:sz w:val="24"/>
                <w:szCs w:val="24"/>
                <w:lang w:val="ro-RO"/>
              </w:rPr>
            </w:pPr>
          </w:p>
          <w:p w14:paraId="5D1A33CC" w14:textId="64ADFA8C" w:rsidR="00FF45C7" w:rsidRPr="00407B5E" w:rsidRDefault="00501790" w:rsidP="00FF45C7">
            <w:pPr>
              <w:pStyle w:val="afb"/>
              <w:numPr>
                <w:ilvl w:val="0"/>
                <w:numId w:val="3"/>
              </w:numPr>
              <w:rPr>
                <w:rFonts w:ascii="Times New Roman" w:hAnsi="Times New Roman"/>
                <w:i/>
                <w:sz w:val="24"/>
                <w:szCs w:val="24"/>
                <w:lang w:val="ro-RO"/>
              </w:rPr>
            </w:pPr>
            <w:r w:rsidRPr="00407B5E">
              <w:rPr>
                <w:rFonts w:ascii="Times New Roman" w:hAnsi="Times New Roman"/>
                <w:i/>
                <w:sz w:val="24"/>
                <w:szCs w:val="24"/>
                <w:lang w:val="ro-RO"/>
              </w:rPr>
              <w:t xml:space="preserve"> Considerarea și includerea integrală a costurilor strict necesare a furnizor</w:t>
            </w:r>
            <w:r w:rsidR="00B45D75" w:rsidRPr="00407B5E">
              <w:rPr>
                <w:rFonts w:ascii="Times New Roman" w:hAnsi="Times New Roman"/>
                <w:i/>
                <w:sz w:val="24"/>
                <w:szCs w:val="24"/>
                <w:lang w:val="ro-RO"/>
              </w:rPr>
              <w:t>ului</w:t>
            </w:r>
            <w:r w:rsidRPr="00407B5E">
              <w:rPr>
                <w:rFonts w:ascii="Times New Roman" w:hAnsi="Times New Roman"/>
                <w:i/>
                <w:sz w:val="24"/>
                <w:szCs w:val="24"/>
                <w:lang w:val="ro-RO"/>
              </w:rPr>
              <w:t xml:space="preserve"> </w:t>
            </w:r>
            <w:r w:rsidR="00B45D75" w:rsidRPr="00407B5E">
              <w:rPr>
                <w:rFonts w:ascii="Times New Roman" w:hAnsi="Times New Roman"/>
                <w:i/>
                <w:sz w:val="24"/>
                <w:szCs w:val="24"/>
                <w:lang w:val="ro-RO"/>
              </w:rPr>
              <w:t>central de energie electrică</w:t>
            </w:r>
            <w:r w:rsidRPr="00407B5E">
              <w:rPr>
                <w:rFonts w:ascii="Times New Roman" w:hAnsi="Times New Roman"/>
                <w:i/>
                <w:sz w:val="24"/>
                <w:szCs w:val="24"/>
                <w:lang w:val="ro-RO"/>
              </w:rPr>
              <w:t xml:space="preserve">, considerând ultimele </w:t>
            </w:r>
            <w:r w:rsidR="00B45D75" w:rsidRPr="00407B5E">
              <w:rPr>
                <w:rFonts w:ascii="Times New Roman" w:hAnsi="Times New Roman"/>
                <w:i/>
                <w:sz w:val="24"/>
                <w:szCs w:val="24"/>
                <w:lang w:val="ro-RO"/>
              </w:rPr>
              <w:t>prevederi a legislației primare</w:t>
            </w:r>
            <w:r w:rsidR="00FF45C7" w:rsidRPr="00407B5E">
              <w:rPr>
                <w:rFonts w:ascii="Times New Roman" w:hAnsi="Times New Roman"/>
                <w:i/>
                <w:sz w:val="24"/>
                <w:szCs w:val="24"/>
                <w:lang w:val="ro-RO"/>
              </w:rPr>
              <w:t xml:space="preserve">; </w:t>
            </w:r>
          </w:p>
          <w:p w14:paraId="54E39CCC" w14:textId="77777777" w:rsidR="00FF45C7" w:rsidRPr="00407B5E" w:rsidRDefault="00FF45C7" w:rsidP="009557CC">
            <w:pPr>
              <w:pStyle w:val="afb"/>
              <w:ind w:left="1069" w:firstLine="0"/>
              <w:rPr>
                <w:rFonts w:ascii="Times New Roman" w:hAnsi="Times New Roman"/>
                <w:i/>
                <w:sz w:val="24"/>
                <w:szCs w:val="24"/>
                <w:lang w:val="ro-RO"/>
              </w:rPr>
            </w:pPr>
          </w:p>
          <w:p w14:paraId="51420D53" w14:textId="6B10E4C8" w:rsidR="00FF45C7" w:rsidRPr="00407B5E" w:rsidRDefault="00F426D8" w:rsidP="00FF45C7">
            <w:pPr>
              <w:pStyle w:val="afb"/>
              <w:numPr>
                <w:ilvl w:val="0"/>
                <w:numId w:val="3"/>
              </w:numPr>
              <w:rPr>
                <w:rFonts w:ascii="Times New Roman" w:hAnsi="Times New Roman"/>
                <w:sz w:val="24"/>
                <w:szCs w:val="24"/>
                <w:lang w:val="ro-RO"/>
              </w:rPr>
            </w:pPr>
            <w:r>
              <w:rPr>
                <w:rFonts w:ascii="Times New Roman" w:hAnsi="Times New Roman"/>
                <w:i/>
                <w:sz w:val="24"/>
                <w:szCs w:val="24"/>
                <w:lang w:val="ro-RO"/>
              </w:rPr>
              <w:t>Reflectarea în costul final al energiei electrice achitate de consumatorul final, al cheltuielilor integrale suportate de FCEE în legătură cu derularea schemelor de sprijin prevăzute de Legea 10/2016</w:t>
            </w:r>
            <w:r w:rsidR="00FF45C7" w:rsidRPr="00407B5E">
              <w:rPr>
                <w:rFonts w:ascii="Times New Roman" w:hAnsi="Times New Roman"/>
                <w:i/>
                <w:sz w:val="24"/>
                <w:szCs w:val="24"/>
                <w:lang w:val="ro-RO"/>
              </w:rPr>
              <w:t>.</w:t>
            </w:r>
          </w:p>
          <w:p w14:paraId="6434D1B0" w14:textId="4765A597" w:rsidR="00FF45C7" w:rsidRPr="00407B5E" w:rsidRDefault="00FF45C7" w:rsidP="00D830AB">
            <w:pPr>
              <w:rPr>
                <w:b/>
                <w:bCs/>
                <w:sz w:val="24"/>
                <w:szCs w:val="24"/>
                <w:lang w:val="ro-RO"/>
              </w:rPr>
            </w:pPr>
          </w:p>
        </w:tc>
      </w:tr>
      <w:tr w:rsidR="00407B5E" w:rsidRPr="00407B5E" w14:paraId="256ADAC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20A2D06" w14:textId="77777777" w:rsidR="00A02A31" w:rsidRPr="00407B5E" w:rsidRDefault="00D927DB" w:rsidP="00A02A31">
            <w:pPr>
              <w:rPr>
                <w:rFonts w:ascii="Times New Roman" w:hAnsi="Times New Roman"/>
                <w:sz w:val="24"/>
                <w:szCs w:val="24"/>
                <w:lang w:val="ro-RO"/>
              </w:rPr>
            </w:pPr>
            <w:r w:rsidRPr="00407B5E">
              <w:rPr>
                <w:rFonts w:ascii="Times New Roman" w:hAnsi="Times New Roman"/>
                <w:sz w:val="24"/>
                <w:szCs w:val="24"/>
                <w:lang w:val="ro-RO"/>
              </w:rPr>
              <w:t>3.1.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Principalele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prevederi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proiectului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eviden</w:t>
            </w:r>
            <w:r w:rsidR="00863417" w:rsidRPr="00407B5E">
              <w:rPr>
                <w:rFonts w:ascii="Times New Roman" w:hAnsi="Times New Roman"/>
                <w:sz w:val="24"/>
                <w:szCs w:val="24"/>
                <w:lang w:val="ro-RO"/>
              </w:rPr>
              <w:t>ț</w:t>
            </w:r>
            <w:r w:rsidRPr="00407B5E">
              <w:rPr>
                <w:rFonts w:ascii="Times New Roman" w:hAnsi="Times New Roman"/>
                <w:sz w:val="24"/>
                <w:szCs w:val="24"/>
                <w:lang w:val="ro-RO"/>
              </w:rPr>
              <w:t>ierea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elementelor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noi</w:t>
            </w:r>
          </w:p>
          <w:p w14:paraId="0E4919AE" w14:textId="3F3015C1" w:rsidR="00A02A31" w:rsidRPr="00407B5E" w:rsidRDefault="00A02A31" w:rsidP="00A02A31">
            <w:pPr>
              <w:ind w:firstLine="0"/>
              <w:rPr>
                <w:rFonts w:ascii="Times New Roman" w:hAnsi="Times New Roman"/>
                <w:sz w:val="24"/>
                <w:szCs w:val="24"/>
                <w:lang w:val="ro-RO"/>
              </w:rPr>
            </w:pPr>
          </w:p>
        </w:tc>
      </w:tr>
      <w:tr w:rsidR="00407B5E" w:rsidRPr="00407B5E" w14:paraId="34C63CD5" w14:textId="77777777" w:rsidTr="002E6FC8">
        <w:trPr>
          <w:trHeight w:val="3806"/>
        </w:trPr>
        <w:tc>
          <w:tcPr>
            <w:tcW w:w="9109" w:type="dxa"/>
            <w:tcBorders>
              <w:top w:val="none" w:sz="4" w:space="0" w:color="000000"/>
              <w:left w:val="single" w:sz="8" w:space="0" w:color="000000"/>
              <w:bottom w:val="single" w:sz="8" w:space="0" w:color="000000"/>
              <w:right w:val="single" w:sz="8" w:space="0" w:color="000000"/>
            </w:tcBorders>
            <w:shd w:val="clear" w:color="auto" w:fill="auto"/>
          </w:tcPr>
          <w:p w14:paraId="27655D76" w14:textId="77777777" w:rsidR="004F5D30" w:rsidRPr="00407B5E" w:rsidRDefault="004F5D30" w:rsidP="00A02A31">
            <w:pPr>
              <w:ind w:firstLine="0"/>
              <w:rPr>
                <w:rFonts w:ascii="Times New Roman" w:hAnsi="Times New Roman"/>
                <w:sz w:val="24"/>
                <w:szCs w:val="24"/>
                <w:lang w:val="ro-RO"/>
              </w:rPr>
            </w:pPr>
          </w:p>
          <w:p w14:paraId="311073B7" w14:textId="29D87A43" w:rsidR="0053274E" w:rsidRPr="00407B5E" w:rsidRDefault="0053274E" w:rsidP="0053274E">
            <w:pPr>
              <w:pStyle w:val="afb"/>
              <w:ind w:left="1069" w:hanging="476"/>
              <w:rPr>
                <w:rFonts w:ascii="Times New Roman" w:hAnsi="Times New Roman"/>
                <w:sz w:val="24"/>
                <w:szCs w:val="24"/>
                <w:lang w:val="ro-RO"/>
              </w:rPr>
            </w:pPr>
            <w:r w:rsidRPr="00407B5E">
              <w:rPr>
                <w:rFonts w:ascii="Times New Roman" w:hAnsi="Times New Roman"/>
                <w:sz w:val="24"/>
                <w:szCs w:val="24"/>
                <w:lang w:val="ro-MD"/>
              </w:rPr>
              <w:t>Din principalele prevederi ale proiectului putem evidenția</w:t>
            </w:r>
            <w:r w:rsidRPr="00407B5E">
              <w:rPr>
                <w:rFonts w:ascii="Times New Roman" w:hAnsi="Times New Roman"/>
                <w:sz w:val="24"/>
                <w:szCs w:val="24"/>
                <w:lang w:val="ro-RO"/>
              </w:rPr>
              <w:t>:</w:t>
            </w:r>
          </w:p>
          <w:p w14:paraId="70D714C2" w14:textId="06444E11" w:rsidR="00BF711B" w:rsidRPr="00407B5E" w:rsidRDefault="00BF711B" w:rsidP="0053274E">
            <w:pPr>
              <w:pStyle w:val="afb"/>
              <w:ind w:left="1069" w:hanging="476"/>
              <w:rPr>
                <w:rFonts w:ascii="Times New Roman" w:hAnsi="Times New Roman"/>
                <w:sz w:val="24"/>
                <w:szCs w:val="24"/>
                <w:lang w:val="ro-RO"/>
              </w:rPr>
            </w:pPr>
          </w:p>
          <w:p w14:paraId="613E38A5" w14:textId="2B0FF719" w:rsidR="004B5476" w:rsidRPr="00407B5E" w:rsidRDefault="00FE4C5B" w:rsidP="004B5476">
            <w:pPr>
              <w:pStyle w:val="afb"/>
              <w:numPr>
                <w:ilvl w:val="0"/>
                <w:numId w:val="18"/>
              </w:numPr>
              <w:rPr>
                <w:rFonts w:ascii="Times New Roman" w:hAnsi="Times New Roman"/>
                <w:sz w:val="24"/>
                <w:szCs w:val="24"/>
                <w:lang w:val="ro-MD" w:eastAsia="ru-RU"/>
              </w:rPr>
            </w:pPr>
            <w:r w:rsidRPr="00407B5E">
              <w:rPr>
                <w:rFonts w:ascii="Times New Roman" w:hAnsi="Times New Roman"/>
                <w:sz w:val="24"/>
                <w:szCs w:val="24"/>
                <w:lang w:val="ro-MD" w:eastAsia="ru-RU"/>
              </w:rPr>
              <w:t>includerea în formula de calculare a prețului reglementat de furnizare a energiei electrice a componentelor ce reprezintă</w:t>
            </w:r>
            <w:r w:rsidR="004B5476" w:rsidRPr="00407B5E">
              <w:rPr>
                <w:rFonts w:ascii="Times New Roman" w:hAnsi="Times New Roman"/>
                <w:sz w:val="24"/>
                <w:szCs w:val="24"/>
                <w:lang w:val="ro-MD" w:eastAsia="ru-RU"/>
              </w:rPr>
              <w:t>:</w:t>
            </w:r>
          </w:p>
          <w:p w14:paraId="2CDF85B1" w14:textId="6C84D55F" w:rsidR="00E61CF9" w:rsidRPr="00407B5E" w:rsidRDefault="004B5476" w:rsidP="004B5476">
            <w:pPr>
              <w:pStyle w:val="afb"/>
              <w:ind w:left="1163" w:hanging="213"/>
              <w:rPr>
                <w:rFonts w:ascii="Times New Roman" w:hAnsi="Times New Roman"/>
                <w:sz w:val="24"/>
                <w:szCs w:val="24"/>
                <w:lang w:val="ro-RO" w:eastAsia="ru-RU"/>
              </w:rPr>
            </w:pPr>
            <w:r w:rsidRPr="00407B5E">
              <w:rPr>
                <w:sz w:val="24"/>
                <w:szCs w:val="24"/>
                <w:lang w:val="ro-MD" w:eastAsia="ru-RU"/>
              </w:rPr>
              <w:t xml:space="preserve">- </w:t>
            </w:r>
            <w:r w:rsidR="00FE4C5B" w:rsidRPr="00407B5E">
              <w:rPr>
                <w:rFonts w:ascii="Times New Roman" w:hAnsi="Times New Roman"/>
                <w:sz w:val="24"/>
                <w:szCs w:val="24"/>
                <w:lang w:val="ro-RO" w:eastAsia="ru-RU"/>
              </w:rPr>
              <w:t>cuantumul mijloacelor financiare colectate de furnizorul central (lichidități), echivalente plăților prognozate pentru o perioadă de o lună pentru producătorii eligibili mari stabiliți în cadrul procedurilor de licitații și pentru producătorii eligibili mici</w:t>
            </w:r>
            <w:r w:rsidRPr="00407B5E">
              <w:rPr>
                <w:rFonts w:ascii="Times New Roman" w:hAnsi="Times New Roman"/>
                <w:sz w:val="24"/>
                <w:szCs w:val="24"/>
                <w:lang w:val="ro-RO" w:eastAsia="ru-RU"/>
              </w:rPr>
              <w:t>;</w:t>
            </w:r>
          </w:p>
          <w:p w14:paraId="04DF457A" w14:textId="77777777" w:rsidR="004B5476" w:rsidRPr="00407B5E" w:rsidRDefault="004B5476" w:rsidP="004B5476">
            <w:pPr>
              <w:pStyle w:val="afb"/>
              <w:ind w:left="1163" w:hanging="213"/>
              <w:rPr>
                <w:rFonts w:ascii="Times New Roman" w:hAnsi="Times New Roman"/>
                <w:sz w:val="24"/>
                <w:szCs w:val="24"/>
                <w:lang w:val="ro-RO" w:eastAsia="ru-RU"/>
              </w:rPr>
            </w:pPr>
            <w:r w:rsidRPr="00407B5E">
              <w:rPr>
                <w:rFonts w:ascii="Times New Roman" w:hAnsi="Times New Roman"/>
                <w:sz w:val="24"/>
                <w:szCs w:val="24"/>
                <w:lang w:val="ro-RO" w:eastAsia="ru-RU"/>
              </w:rPr>
              <w:t>-  costurile suportate de furnizorul central în calitate de titular al contului în registrul garanțiilor de origine;</w:t>
            </w:r>
          </w:p>
          <w:p w14:paraId="3EFA946C" w14:textId="07141D4D" w:rsidR="004B5476" w:rsidRPr="00407B5E" w:rsidRDefault="004B5476" w:rsidP="004B5476">
            <w:pPr>
              <w:pStyle w:val="afb"/>
              <w:ind w:left="1163" w:hanging="213"/>
              <w:rPr>
                <w:rFonts w:ascii="Times New Roman" w:hAnsi="Times New Roman"/>
                <w:sz w:val="24"/>
                <w:szCs w:val="24"/>
                <w:lang w:eastAsia="ru-RU"/>
              </w:rPr>
            </w:pPr>
            <w:r w:rsidRPr="00407B5E">
              <w:rPr>
                <w:rFonts w:ascii="Times New Roman" w:hAnsi="Times New Roman"/>
                <w:sz w:val="24"/>
                <w:szCs w:val="24"/>
                <w:lang w:val="ro-RO" w:eastAsia="ru-RU"/>
              </w:rPr>
              <w:t xml:space="preserve">-  </w:t>
            </w:r>
            <w:r w:rsidRPr="00407B5E">
              <w:rPr>
                <w:rFonts w:ascii="Times New Roman" w:hAnsi="Times New Roman"/>
                <w:sz w:val="24"/>
                <w:szCs w:val="24"/>
                <w:lang w:val="az-Cyrl-AZ" w:eastAsia="ru-RU"/>
              </w:rPr>
              <w:t>rezultatul financiar înregistrat în anul „t-1” de furnizorul central în procesul de decontare al dezechilibrelor aferente activității producătorilor de energie electrică din surse regenerabile, care fac parte din grupul de echilibrare pentru care este responsabil furnizorul central de energie electrică</w:t>
            </w:r>
            <w:r w:rsidRPr="00407B5E">
              <w:rPr>
                <w:rFonts w:ascii="Times New Roman" w:hAnsi="Times New Roman"/>
                <w:sz w:val="24"/>
                <w:szCs w:val="24"/>
                <w:lang w:eastAsia="ru-RU"/>
              </w:rPr>
              <w:t>.</w:t>
            </w:r>
          </w:p>
          <w:p w14:paraId="057391C2" w14:textId="768295B4" w:rsidR="00BF711B" w:rsidRPr="00407B5E" w:rsidRDefault="004B5476" w:rsidP="00311D4E">
            <w:pPr>
              <w:pStyle w:val="afb"/>
              <w:ind w:left="880" w:hanging="284"/>
              <w:rPr>
                <w:rFonts w:ascii="Times New Roman" w:hAnsi="Times New Roman"/>
                <w:sz w:val="24"/>
                <w:szCs w:val="24"/>
                <w:lang w:val="ro-RO" w:eastAsia="ru-RU"/>
              </w:rPr>
            </w:pPr>
            <w:r w:rsidRPr="00407B5E">
              <w:rPr>
                <w:rFonts w:ascii="Times New Roman" w:hAnsi="Times New Roman"/>
                <w:sz w:val="24"/>
                <w:szCs w:val="24"/>
                <w:lang w:eastAsia="ru-RU"/>
              </w:rPr>
              <w:t>2</w:t>
            </w:r>
            <w:r w:rsidR="00EF7E8F">
              <w:rPr>
                <w:rFonts w:ascii="Times New Roman" w:hAnsi="Times New Roman"/>
                <w:sz w:val="24"/>
                <w:szCs w:val="24"/>
                <w:lang w:eastAsia="ru-RU"/>
              </w:rPr>
              <w:t>)</w:t>
            </w:r>
            <w:r w:rsidRPr="00407B5E">
              <w:rPr>
                <w:rFonts w:ascii="Times New Roman" w:hAnsi="Times New Roman"/>
                <w:sz w:val="24"/>
                <w:szCs w:val="24"/>
                <w:lang w:eastAsia="ru-RU"/>
              </w:rPr>
              <w:t xml:space="preserve">  </w:t>
            </w:r>
            <w:r w:rsidRPr="00407B5E">
              <w:rPr>
                <w:rFonts w:ascii="Times New Roman" w:hAnsi="Times New Roman"/>
                <w:sz w:val="24"/>
                <w:szCs w:val="24"/>
                <w:lang w:val="ro-RO" w:eastAsia="ru-RU"/>
              </w:rPr>
              <w:t xml:space="preserve">introduce mecanismul de calculare a prețului </w:t>
            </w:r>
            <w:r w:rsidR="00F7702E" w:rsidRPr="00407B5E">
              <w:rPr>
                <w:rFonts w:ascii="Times New Roman" w:hAnsi="Times New Roman"/>
                <w:sz w:val="24"/>
                <w:szCs w:val="24"/>
                <w:lang w:val="ro-RO" w:eastAsia="ru-RU"/>
              </w:rPr>
              <w:t>r</w:t>
            </w:r>
            <w:r w:rsidRPr="00407B5E">
              <w:rPr>
                <w:rFonts w:ascii="Times New Roman" w:hAnsi="Times New Roman"/>
                <w:sz w:val="24"/>
                <w:szCs w:val="24"/>
                <w:lang w:val="ro-RO" w:eastAsia="ru-RU"/>
              </w:rPr>
              <w:t>eglementat de furnizare al energiei electrice de către furnizorul central</w:t>
            </w:r>
            <w:r w:rsidR="00F7702E" w:rsidRPr="00407B5E">
              <w:rPr>
                <w:rFonts w:ascii="Times New Roman" w:hAnsi="Times New Roman"/>
                <w:sz w:val="24"/>
                <w:szCs w:val="24"/>
                <w:lang w:val="ro-RO" w:eastAsia="ru-RU"/>
              </w:rPr>
              <w:t xml:space="preserve"> </w:t>
            </w:r>
            <w:r w:rsidR="0099197C">
              <w:rPr>
                <w:rFonts w:ascii="Times New Roman" w:hAnsi="Times New Roman"/>
                <w:sz w:val="24"/>
                <w:szCs w:val="24"/>
                <w:lang w:val="ro-RO" w:eastAsia="ru-RU"/>
              </w:rPr>
              <w:t>considerând că eventual</w:t>
            </w:r>
            <w:r w:rsidR="00F7702E" w:rsidRPr="00407B5E">
              <w:rPr>
                <w:rFonts w:ascii="Times New Roman" w:hAnsi="Times New Roman"/>
                <w:sz w:val="24"/>
                <w:szCs w:val="24"/>
                <w:lang w:val="ro-RO" w:eastAsia="ru-RU"/>
              </w:rPr>
              <w:t xml:space="preserve"> contractele reglementate pentru achiziționarea energiei electrice din surse regenerabile încheiate cu producători eligibili mari stabiliți în cadrul procedurilor de licitații </w:t>
            </w:r>
            <w:r w:rsidR="0099197C">
              <w:rPr>
                <w:rFonts w:ascii="Times New Roman" w:hAnsi="Times New Roman"/>
                <w:sz w:val="24"/>
                <w:szCs w:val="24"/>
                <w:lang w:val="ro-RO" w:eastAsia="ru-RU"/>
              </w:rPr>
              <w:t>vor fi</w:t>
            </w:r>
            <w:r w:rsidR="0099197C" w:rsidRPr="00407B5E">
              <w:rPr>
                <w:rFonts w:ascii="Times New Roman" w:hAnsi="Times New Roman"/>
                <w:sz w:val="24"/>
                <w:szCs w:val="24"/>
                <w:lang w:val="ro-RO" w:eastAsia="ru-RU"/>
              </w:rPr>
              <w:t xml:space="preserve"> </w:t>
            </w:r>
            <w:r w:rsidR="00F7702E" w:rsidRPr="00407B5E">
              <w:rPr>
                <w:rFonts w:ascii="Times New Roman" w:hAnsi="Times New Roman"/>
                <w:sz w:val="24"/>
                <w:szCs w:val="24"/>
                <w:lang w:val="ro-RO" w:eastAsia="ru-RU"/>
              </w:rPr>
              <w:t>înlocuite cu contracte pentru diferențe</w:t>
            </w:r>
            <w:r w:rsidR="0099197C">
              <w:rPr>
                <w:rFonts w:ascii="Times New Roman" w:hAnsi="Times New Roman"/>
                <w:sz w:val="24"/>
                <w:szCs w:val="24"/>
                <w:lang w:val="ro-RO" w:eastAsia="ru-RU"/>
              </w:rPr>
              <w:t>.</w:t>
            </w:r>
          </w:p>
          <w:p w14:paraId="145DDEC4" w14:textId="73D22B2F" w:rsidR="000563FF" w:rsidRPr="00407B5E" w:rsidRDefault="00BF711B" w:rsidP="009557CC">
            <w:pPr>
              <w:ind w:firstLine="281"/>
              <w:rPr>
                <w:rFonts w:ascii="Times New Roman" w:hAnsi="Times New Roman"/>
                <w:sz w:val="24"/>
                <w:szCs w:val="24"/>
                <w:lang w:val="ro-RO"/>
              </w:rPr>
            </w:pPr>
            <w:r w:rsidRPr="00407B5E">
              <w:rPr>
                <w:rFonts w:ascii="Times New Roman" w:hAnsi="Times New Roman"/>
                <w:sz w:val="24"/>
                <w:szCs w:val="24"/>
                <w:lang w:val="ro-RO"/>
              </w:rPr>
              <w:t xml:space="preserve">       </w:t>
            </w:r>
          </w:p>
          <w:p w14:paraId="306F77DB" w14:textId="669B4689" w:rsidR="00877127" w:rsidRPr="00407B5E" w:rsidRDefault="00877127" w:rsidP="00877127">
            <w:pPr>
              <w:pStyle w:val="afb"/>
              <w:ind w:left="1069" w:hanging="476"/>
              <w:rPr>
                <w:rFonts w:ascii="Times New Roman" w:hAnsi="Times New Roman"/>
                <w:sz w:val="24"/>
                <w:szCs w:val="24"/>
                <w:lang w:val="ro-RO"/>
              </w:rPr>
            </w:pPr>
            <w:r w:rsidRPr="00407B5E">
              <w:rPr>
                <w:rFonts w:ascii="Times New Roman" w:hAnsi="Times New Roman"/>
                <w:sz w:val="24"/>
                <w:szCs w:val="24"/>
                <w:lang w:val="ro-RO"/>
              </w:rPr>
              <w:t xml:space="preserve">Rezultatele scontate în rezultatul intervenției propuse sunt următoarele: </w:t>
            </w:r>
          </w:p>
          <w:p w14:paraId="6DEDDC45" w14:textId="77777777" w:rsidR="00033744" w:rsidRPr="00407B5E" w:rsidRDefault="00033744" w:rsidP="00877127">
            <w:pPr>
              <w:pStyle w:val="afb"/>
              <w:ind w:left="1069" w:hanging="476"/>
              <w:rPr>
                <w:rFonts w:ascii="Times New Roman" w:hAnsi="Times New Roman"/>
                <w:sz w:val="24"/>
                <w:szCs w:val="24"/>
                <w:lang w:val="ro-RO"/>
              </w:rPr>
            </w:pPr>
          </w:p>
          <w:p w14:paraId="7D9F71B0" w14:textId="79AB7C2E" w:rsidR="00B74B51" w:rsidRPr="00407B5E" w:rsidRDefault="00033744" w:rsidP="009557CC">
            <w:pPr>
              <w:pStyle w:val="afb"/>
              <w:numPr>
                <w:ilvl w:val="0"/>
                <w:numId w:val="14"/>
              </w:numPr>
              <w:spacing w:after="240"/>
              <w:rPr>
                <w:rFonts w:ascii="Times New Roman" w:hAnsi="Times New Roman"/>
                <w:sz w:val="24"/>
                <w:szCs w:val="24"/>
                <w:lang w:val="ro-RO"/>
              </w:rPr>
            </w:pPr>
            <w:r w:rsidRPr="00407B5E">
              <w:rPr>
                <w:rFonts w:ascii="Times New Roman" w:hAnsi="Times New Roman"/>
                <w:sz w:val="24"/>
                <w:szCs w:val="24"/>
                <w:lang w:val="ro-RO"/>
              </w:rPr>
              <w:lastRenderedPageBreak/>
              <w:t>Determinarea prețu</w:t>
            </w:r>
            <w:r w:rsidR="00311D4E" w:rsidRPr="00407B5E">
              <w:rPr>
                <w:rFonts w:ascii="Times New Roman" w:hAnsi="Times New Roman"/>
                <w:sz w:val="24"/>
                <w:szCs w:val="24"/>
                <w:lang w:val="ro-RO"/>
              </w:rPr>
              <w:t xml:space="preserve">lui </w:t>
            </w:r>
            <w:r w:rsidR="007C0C58" w:rsidRPr="00407B5E">
              <w:rPr>
                <w:rFonts w:ascii="Times New Roman" w:hAnsi="Times New Roman"/>
                <w:sz w:val="24"/>
                <w:szCs w:val="24"/>
                <w:lang w:val="ro-RO"/>
              </w:rPr>
              <w:t xml:space="preserve">justificat </w:t>
            </w:r>
            <w:r w:rsidRPr="00407B5E">
              <w:rPr>
                <w:rFonts w:ascii="Times New Roman" w:hAnsi="Times New Roman"/>
                <w:sz w:val="24"/>
                <w:szCs w:val="24"/>
                <w:lang w:val="ro-RO"/>
              </w:rPr>
              <w:t xml:space="preserve">pentru energia electrică furnizată de furnizorul </w:t>
            </w:r>
            <w:r w:rsidR="007C0C58" w:rsidRPr="00407B5E">
              <w:rPr>
                <w:rFonts w:ascii="Times New Roman" w:hAnsi="Times New Roman"/>
                <w:sz w:val="24"/>
                <w:szCs w:val="24"/>
                <w:lang w:val="ro-RO"/>
              </w:rPr>
              <w:t>central părților contractante</w:t>
            </w:r>
            <w:r w:rsidRPr="00407B5E">
              <w:rPr>
                <w:rFonts w:ascii="Times New Roman" w:hAnsi="Times New Roman"/>
                <w:sz w:val="24"/>
                <w:szCs w:val="24"/>
                <w:lang w:val="ro-RO"/>
              </w:rPr>
              <w:t>;</w:t>
            </w:r>
          </w:p>
          <w:p w14:paraId="4C9535F9" w14:textId="77777777" w:rsidR="00B74B51" w:rsidRPr="00407B5E" w:rsidRDefault="00B74B51" w:rsidP="00B74B51">
            <w:pPr>
              <w:pStyle w:val="afb"/>
              <w:spacing w:after="240"/>
              <w:ind w:left="1069" w:hanging="901"/>
              <w:rPr>
                <w:rFonts w:ascii="Times New Roman" w:hAnsi="Times New Roman"/>
                <w:sz w:val="24"/>
                <w:szCs w:val="24"/>
                <w:lang w:val="ro-RO"/>
              </w:rPr>
            </w:pPr>
          </w:p>
          <w:p w14:paraId="20F07B7C" w14:textId="4A3670F6" w:rsidR="007665E4" w:rsidRPr="00407B5E" w:rsidRDefault="00B74B51" w:rsidP="009557CC">
            <w:pPr>
              <w:pStyle w:val="afb"/>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Transparentizarea procesului de calculare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pentru energia electrică, luând în considerare doar cheltuielile strict necesare și justificate suportate de către furnizorul </w:t>
            </w:r>
            <w:r w:rsidR="007C0C58" w:rsidRPr="00407B5E">
              <w:rPr>
                <w:rFonts w:ascii="Times New Roman" w:hAnsi="Times New Roman"/>
                <w:sz w:val="24"/>
                <w:szCs w:val="24"/>
                <w:lang w:val="ro-RO"/>
              </w:rPr>
              <w:t>central</w:t>
            </w:r>
            <w:r w:rsidR="007665E4" w:rsidRPr="00407B5E">
              <w:rPr>
                <w:rFonts w:ascii="Times New Roman" w:hAnsi="Times New Roman"/>
                <w:sz w:val="24"/>
                <w:szCs w:val="24"/>
                <w:lang w:val="ro-RO"/>
              </w:rPr>
              <w:t>;</w:t>
            </w:r>
          </w:p>
          <w:p w14:paraId="2AA21ECB" w14:textId="77777777" w:rsidR="007665E4" w:rsidRPr="00407B5E" w:rsidRDefault="007665E4" w:rsidP="009557CC">
            <w:pPr>
              <w:pStyle w:val="afb"/>
              <w:spacing w:before="240"/>
              <w:ind w:left="1008" w:firstLine="0"/>
              <w:rPr>
                <w:rFonts w:ascii="Times New Roman" w:hAnsi="Times New Roman"/>
                <w:sz w:val="24"/>
                <w:szCs w:val="24"/>
                <w:lang w:val="ro-RO"/>
              </w:rPr>
            </w:pPr>
          </w:p>
          <w:p w14:paraId="1C1B08AB" w14:textId="32F134DB" w:rsidR="007665E4" w:rsidRPr="00407B5E" w:rsidRDefault="007665E4" w:rsidP="009557CC">
            <w:pPr>
              <w:pStyle w:val="afb"/>
              <w:numPr>
                <w:ilvl w:val="0"/>
                <w:numId w:val="14"/>
              </w:numPr>
              <w:spacing w:before="240"/>
              <w:rPr>
                <w:rFonts w:ascii="Times New Roman" w:hAnsi="Times New Roman"/>
                <w:sz w:val="24"/>
                <w:szCs w:val="24"/>
                <w:lang w:val="ro-RO"/>
              </w:rPr>
            </w:pPr>
            <w:r w:rsidRPr="00407B5E">
              <w:rPr>
                <w:rFonts w:ascii="Times New Roman" w:hAnsi="Times New Roman"/>
                <w:sz w:val="24"/>
                <w:szCs w:val="24"/>
                <w:lang w:val="ro-RO"/>
              </w:rPr>
              <w:t xml:space="preserve">Considerarea în cadrul proiectului </w:t>
            </w:r>
            <w:r w:rsidR="007C0C58" w:rsidRPr="00407B5E">
              <w:rPr>
                <w:rFonts w:ascii="Times New Roman" w:hAnsi="Times New Roman"/>
                <w:sz w:val="24"/>
                <w:szCs w:val="24"/>
                <w:lang w:val="ro-RO"/>
              </w:rPr>
              <w:t xml:space="preserve">de modificare a </w:t>
            </w:r>
            <w:r w:rsidRPr="00407B5E">
              <w:rPr>
                <w:rFonts w:ascii="Times New Roman" w:hAnsi="Times New Roman"/>
                <w:sz w:val="24"/>
                <w:szCs w:val="24"/>
                <w:lang w:val="ro-RO"/>
              </w:rPr>
              <w:t xml:space="preserve">metodologiei a unor </w:t>
            </w:r>
            <w:r w:rsidR="007C0C58" w:rsidRPr="00407B5E">
              <w:rPr>
                <w:rFonts w:ascii="Times New Roman" w:hAnsi="Times New Roman"/>
                <w:sz w:val="24"/>
                <w:szCs w:val="24"/>
                <w:lang w:val="ro-RO"/>
              </w:rPr>
              <w:t>componente</w:t>
            </w:r>
            <w:r w:rsidRPr="00407B5E">
              <w:rPr>
                <w:rFonts w:ascii="Times New Roman" w:hAnsi="Times New Roman"/>
                <w:sz w:val="24"/>
                <w:szCs w:val="24"/>
                <w:lang w:val="ro-RO"/>
              </w:rPr>
              <w:t xml:space="preserve"> noi, necesare de a fi reflectate pentru a asigura desfășurarea unei activități de furnizare eficiente și fiabile.</w:t>
            </w:r>
          </w:p>
          <w:p w14:paraId="2D7C04D3" w14:textId="7A02F0AA" w:rsidR="0053274E" w:rsidRPr="00407B5E" w:rsidRDefault="00B74B51" w:rsidP="007C0C58">
            <w:pPr>
              <w:pStyle w:val="afb"/>
              <w:spacing w:before="240"/>
              <w:ind w:left="877" w:hanging="709"/>
              <w:rPr>
                <w:rFonts w:ascii="Times New Roman" w:hAnsi="Times New Roman"/>
                <w:sz w:val="24"/>
                <w:szCs w:val="24"/>
                <w:lang w:val="ro-RO"/>
              </w:rPr>
            </w:pPr>
            <w:r w:rsidRPr="00407B5E">
              <w:rPr>
                <w:rFonts w:ascii="Times New Roman" w:hAnsi="Times New Roman"/>
                <w:sz w:val="24"/>
                <w:szCs w:val="24"/>
                <w:lang w:val="ro-RO"/>
              </w:rPr>
              <w:t xml:space="preserve">  </w:t>
            </w:r>
            <w:r w:rsidR="00033744" w:rsidRPr="00407B5E">
              <w:rPr>
                <w:rFonts w:ascii="Times New Roman" w:hAnsi="Times New Roman"/>
                <w:sz w:val="24"/>
                <w:szCs w:val="24"/>
                <w:lang w:val="ro-RO"/>
              </w:rPr>
              <w:t xml:space="preserve">  </w:t>
            </w:r>
          </w:p>
          <w:p w14:paraId="52AFEEDF" w14:textId="1692A9D2" w:rsidR="0053274E" w:rsidRPr="00407B5E" w:rsidRDefault="00470ABF" w:rsidP="00470ABF">
            <w:pPr>
              <w:pStyle w:val="afb"/>
              <w:ind w:left="0" w:firstLine="0"/>
              <w:rPr>
                <w:rFonts w:ascii="Times New Roman" w:hAnsi="Times New Roman"/>
                <w:sz w:val="24"/>
                <w:szCs w:val="24"/>
                <w:lang w:val="ro-RO"/>
              </w:rPr>
            </w:pPr>
            <w:r w:rsidRPr="00407B5E">
              <w:rPr>
                <w:rFonts w:ascii="Times New Roman" w:hAnsi="Times New Roman"/>
                <w:sz w:val="24"/>
                <w:szCs w:val="24"/>
                <w:lang w:val="ro-RO"/>
              </w:rPr>
              <w:t xml:space="preserve">     Evaluarea rezultatelor scontate în cazul dat este destul de dificilă, deoarece nu se știe de câte ori va fi utilizată procedura de determinare a prețu</w:t>
            </w:r>
            <w:r w:rsidR="007C0C58" w:rsidRPr="00407B5E">
              <w:rPr>
                <w:rFonts w:ascii="Times New Roman" w:hAnsi="Times New Roman"/>
                <w:sz w:val="24"/>
                <w:szCs w:val="24"/>
                <w:lang w:val="ro-RO"/>
              </w:rPr>
              <w:t>lui</w:t>
            </w:r>
            <w:r w:rsidRPr="00407B5E">
              <w:rPr>
                <w:rFonts w:ascii="Times New Roman" w:hAnsi="Times New Roman"/>
                <w:sz w:val="24"/>
                <w:szCs w:val="24"/>
                <w:lang w:val="ro-RO"/>
              </w:rPr>
              <w:t xml:space="preserve"> energi</w:t>
            </w:r>
            <w:r w:rsidR="001D55C5">
              <w:rPr>
                <w:rFonts w:ascii="Times New Roman" w:hAnsi="Times New Roman"/>
                <w:sz w:val="24"/>
                <w:szCs w:val="24"/>
                <w:lang w:val="ro-RO"/>
              </w:rPr>
              <w:t>a</w:t>
            </w:r>
            <w:r w:rsidRPr="00407B5E">
              <w:rPr>
                <w:rFonts w:ascii="Times New Roman" w:hAnsi="Times New Roman"/>
                <w:sz w:val="24"/>
                <w:szCs w:val="24"/>
                <w:lang w:val="ro-RO"/>
              </w:rPr>
              <w:t xml:space="preserve"> electric</w:t>
            </w:r>
            <w:r w:rsidR="001D55C5">
              <w:rPr>
                <w:rFonts w:ascii="Times New Roman" w:hAnsi="Times New Roman"/>
                <w:sz w:val="24"/>
                <w:szCs w:val="24"/>
                <w:lang w:val="ro-RO"/>
              </w:rPr>
              <w:t>ă furnizată de FCEE</w:t>
            </w:r>
            <w:r w:rsidRPr="00407B5E">
              <w:rPr>
                <w:rFonts w:ascii="Times New Roman" w:hAnsi="Times New Roman"/>
                <w:sz w:val="24"/>
                <w:szCs w:val="24"/>
                <w:lang w:val="ro-RO"/>
              </w:rPr>
              <w:t xml:space="preserve">.  </w:t>
            </w:r>
          </w:p>
          <w:p w14:paraId="5F9A128B" w14:textId="1742FBC3" w:rsidR="00501A40" w:rsidRPr="00407B5E" w:rsidRDefault="00501A40" w:rsidP="002E151F">
            <w:pPr>
              <w:ind w:firstLine="0"/>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761439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407B5E" w:rsidRDefault="00D927DB" w:rsidP="00F37ED4">
            <w:pPr>
              <w:rPr>
                <w:rFonts w:ascii="Times New Roman" w:hAnsi="Times New Roman"/>
                <w:sz w:val="24"/>
                <w:szCs w:val="24"/>
                <w:lang w:val="ro-RO"/>
              </w:rPr>
            </w:pPr>
            <w:r w:rsidRPr="00407B5E">
              <w:rPr>
                <w:rFonts w:ascii="Times New Roman" w:hAnsi="Times New Roman"/>
                <w:sz w:val="24"/>
                <w:szCs w:val="24"/>
                <w:lang w:val="ro-RO"/>
              </w:rPr>
              <w:lastRenderedPageBreak/>
              <w:t>3.2.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Op</w:t>
            </w:r>
            <w:r w:rsidR="00863417" w:rsidRPr="00407B5E">
              <w:rPr>
                <w:rFonts w:ascii="Times New Roman" w:hAnsi="Times New Roman"/>
                <w:sz w:val="24"/>
                <w:szCs w:val="24"/>
                <w:lang w:val="ro-RO"/>
              </w:rPr>
              <w:t>ț</w:t>
            </w:r>
            <w:r w:rsidRPr="00407B5E">
              <w:rPr>
                <w:rFonts w:ascii="Times New Roman" w:hAnsi="Times New Roman"/>
                <w:sz w:val="24"/>
                <w:szCs w:val="24"/>
                <w:lang w:val="ro-RO"/>
              </w:rPr>
              <w:t>iunile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alternative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analizate</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motivele</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pentru</w:t>
            </w:r>
            <w:r w:rsidR="00032B46" w:rsidRPr="00407B5E">
              <w:rPr>
                <w:rFonts w:ascii="Times New Roman" w:hAnsi="Times New Roman"/>
                <w:sz w:val="24"/>
                <w:szCs w:val="24"/>
                <w:lang w:val="ro-RO"/>
              </w:rPr>
              <w:t xml:space="preserve"> </w:t>
            </w:r>
            <w:r w:rsidR="00E44F7F"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acestea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au</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fost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luate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în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considerare</w:t>
            </w:r>
          </w:p>
        </w:tc>
      </w:tr>
      <w:tr w:rsidR="00407B5E" w:rsidRPr="00407B5E" w14:paraId="4A64D45D" w14:textId="77777777" w:rsidTr="008A4272">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F7E8A5E" w14:textId="77777777" w:rsidR="008A4272" w:rsidRPr="00407B5E" w:rsidRDefault="008A4272" w:rsidP="00F37ED4">
            <w:pPr>
              <w:rPr>
                <w:rFonts w:ascii="Times New Roman" w:hAnsi="Times New Roman"/>
                <w:sz w:val="24"/>
                <w:szCs w:val="24"/>
                <w:lang w:val="ro-RO"/>
              </w:rPr>
            </w:pPr>
          </w:p>
          <w:p w14:paraId="6D3191F6" w14:textId="683E1653" w:rsidR="00813AAF" w:rsidRPr="00407B5E" w:rsidRDefault="00813AAF" w:rsidP="00F37ED4">
            <w:pPr>
              <w:rPr>
                <w:rFonts w:ascii="Times New Roman" w:hAnsi="Times New Roman"/>
                <w:sz w:val="24"/>
                <w:szCs w:val="24"/>
                <w:lang w:val="ro-RO"/>
              </w:rPr>
            </w:pPr>
            <w:r w:rsidRPr="00407B5E">
              <w:rPr>
                <w:rFonts w:ascii="Times New Roman" w:hAnsi="Times New Roman"/>
                <w:sz w:val="24"/>
                <w:szCs w:val="24"/>
                <w:lang w:val="ro-RO"/>
              </w:rPr>
              <w:t>Din punctul de vedere al autorilor prezentei note de fundamentare, nu există o opțiune alternativă pentru soluționarea probleme</w:t>
            </w:r>
            <w:r w:rsidR="00722FB5" w:rsidRPr="00407B5E">
              <w:rPr>
                <w:rFonts w:ascii="Times New Roman" w:hAnsi="Times New Roman"/>
                <w:sz w:val="24"/>
                <w:szCs w:val="24"/>
                <w:lang w:val="ro-RO"/>
              </w:rPr>
              <w:t>i</w:t>
            </w:r>
            <w:r w:rsidRPr="00407B5E">
              <w:rPr>
                <w:rFonts w:ascii="Times New Roman" w:hAnsi="Times New Roman"/>
                <w:sz w:val="24"/>
                <w:szCs w:val="24"/>
                <w:lang w:val="ro-RO"/>
              </w:rPr>
              <w:t xml:space="preserve"> descrise</w:t>
            </w:r>
            <w:r w:rsidR="00A679A5" w:rsidRPr="00407B5E">
              <w:rPr>
                <w:rFonts w:ascii="Times New Roman" w:hAnsi="Times New Roman"/>
                <w:sz w:val="24"/>
                <w:szCs w:val="24"/>
                <w:lang w:val="ro-RO"/>
              </w:rPr>
              <w:t xml:space="preserve">, or </w:t>
            </w:r>
            <w:r w:rsidR="00722FB5" w:rsidRPr="00407B5E">
              <w:rPr>
                <w:rFonts w:ascii="Times New Roman" w:hAnsi="Times New Roman"/>
                <w:sz w:val="24"/>
                <w:szCs w:val="24"/>
                <w:lang w:val="ro-RO"/>
              </w:rPr>
              <w:t xml:space="preserve">neconsiderarea noilor componente în </w:t>
            </w:r>
            <w:r w:rsidR="001967ED" w:rsidRPr="00407B5E">
              <w:rPr>
                <w:rFonts w:ascii="Times New Roman" w:hAnsi="Times New Roman"/>
                <w:sz w:val="24"/>
                <w:szCs w:val="24"/>
                <w:lang w:val="ro-RO"/>
              </w:rPr>
              <w:t xml:space="preserve"> calcul</w:t>
            </w:r>
            <w:r w:rsidR="00722FB5" w:rsidRPr="00407B5E">
              <w:rPr>
                <w:rFonts w:ascii="Times New Roman" w:hAnsi="Times New Roman"/>
                <w:sz w:val="24"/>
                <w:szCs w:val="24"/>
                <w:lang w:val="ro-RO"/>
              </w:rPr>
              <w:t>area</w:t>
            </w:r>
            <w:r w:rsidR="001967ED" w:rsidRPr="00407B5E">
              <w:rPr>
                <w:rFonts w:ascii="Times New Roman" w:hAnsi="Times New Roman"/>
                <w:sz w:val="24"/>
                <w:szCs w:val="24"/>
                <w:lang w:val="ro-RO"/>
              </w:rPr>
              <w:t xml:space="preserve"> prețu</w:t>
            </w:r>
            <w:r w:rsidR="00722FB5" w:rsidRPr="00407B5E">
              <w:rPr>
                <w:rFonts w:ascii="Times New Roman" w:hAnsi="Times New Roman"/>
                <w:sz w:val="24"/>
                <w:szCs w:val="24"/>
                <w:lang w:val="ro-RO"/>
              </w:rPr>
              <w:t>lui</w:t>
            </w:r>
            <w:r w:rsidR="001967ED" w:rsidRPr="00407B5E">
              <w:rPr>
                <w:rFonts w:ascii="Times New Roman" w:hAnsi="Times New Roman"/>
                <w:sz w:val="24"/>
                <w:szCs w:val="24"/>
                <w:lang w:val="ro-RO"/>
              </w:rPr>
              <w:t xml:space="preserve"> pentru energia electrică furnizată de </w:t>
            </w:r>
            <w:r w:rsidR="001D55C5">
              <w:rPr>
                <w:rFonts w:ascii="Times New Roman" w:hAnsi="Times New Roman"/>
                <w:sz w:val="24"/>
                <w:szCs w:val="24"/>
                <w:lang w:val="ro-RO"/>
              </w:rPr>
              <w:t>FCEE</w:t>
            </w:r>
            <w:r w:rsidR="001967ED" w:rsidRPr="00407B5E">
              <w:rPr>
                <w:rFonts w:ascii="Times New Roman" w:hAnsi="Times New Roman"/>
                <w:sz w:val="24"/>
                <w:szCs w:val="24"/>
                <w:lang w:val="ro-RO"/>
              </w:rPr>
              <w:t xml:space="preserve">, ar duce la aplicarea unei proceduri </w:t>
            </w:r>
            <w:r w:rsidR="001D55C5">
              <w:rPr>
                <w:rFonts w:ascii="Times New Roman" w:hAnsi="Times New Roman"/>
                <w:sz w:val="24"/>
                <w:szCs w:val="24"/>
                <w:lang w:val="ro-RO"/>
              </w:rPr>
              <w:t>incomplete</w:t>
            </w:r>
            <w:r w:rsidR="001D55C5" w:rsidRPr="00407B5E">
              <w:rPr>
                <w:rFonts w:ascii="Times New Roman" w:hAnsi="Times New Roman"/>
                <w:sz w:val="24"/>
                <w:szCs w:val="24"/>
                <w:lang w:val="ro-RO"/>
              </w:rPr>
              <w:t xml:space="preserve"> </w:t>
            </w:r>
            <w:r w:rsidR="001967ED" w:rsidRPr="00407B5E">
              <w:rPr>
                <w:rFonts w:ascii="Times New Roman" w:hAnsi="Times New Roman"/>
                <w:sz w:val="24"/>
                <w:szCs w:val="24"/>
                <w:lang w:val="ro-RO"/>
              </w:rPr>
              <w:t>de calculare a prețu</w:t>
            </w:r>
            <w:r w:rsidR="00722FB5" w:rsidRPr="00407B5E">
              <w:rPr>
                <w:rFonts w:ascii="Times New Roman" w:hAnsi="Times New Roman"/>
                <w:sz w:val="24"/>
                <w:szCs w:val="24"/>
                <w:lang w:val="ro-RO"/>
              </w:rPr>
              <w:t>lui</w:t>
            </w:r>
            <w:r w:rsidR="001D55C5">
              <w:rPr>
                <w:rFonts w:ascii="Times New Roman" w:hAnsi="Times New Roman"/>
                <w:sz w:val="24"/>
                <w:szCs w:val="24"/>
                <w:lang w:val="ro-RO"/>
              </w:rPr>
              <w:t xml:space="preserve"> energiei electrice</w:t>
            </w:r>
            <w:r w:rsidR="00722FB5" w:rsidRPr="00407B5E">
              <w:rPr>
                <w:rFonts w:ascii="Times New Roman" w:hAnsi="Times New Roman"/>
                <w:sz w:val="24"/>
                <w:szCs w:val="24"/>
                <w:lang w:val="ro-RO"/>
              </w:rPr>
              <w:t xml:space="preserve"> </w:t>
            </w:r>
            <w:r w:rsidR="00021DF5" w:rsidRPr="00407B5E">
              <w:rPr>
                <w:rFonts w:ascii="Times New Roman" w:hAnsi="Times New Roman"/>
                <w:sz w:val="24"/>
                <w:szCs w:val="24"/>
                <w:lang w:val="ro-RO"/>
              </w:rPr>
              <w:t>furniza</w:t>
            </w:r>
            <w:r w:rsidR="001D55C5">
              <w:rPr>
                <w:rFonts w:ascii="Times New Roman" w:hAnsi="Times New Roman"/>
                <w:sz w:val="24"/>
                <w:szCs w:val="24"/>
                <w:lang w:val="ro-RO"/>
              </w:rPr>
              <w:t>tă de</w:t>
            </w:r>
            <w:r w:rsidR="00021DF5"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00021DF5" w:rsidRPr="00407B5E">
              <w:rPr>
                <w:rFonts w:ascii="Times New Roman" w:hAnsi="Times New Roman"/>
                <w:sz w:val="24"/>
                <w:szCs w:val="24"/>
                <w:lang w:val="ro-RO"/>
              </w:rPr>
              <w:t xml:space="preserve">. </w:t>
            </w:r>
          </w:p>
          <w:p w14:paraId="02287EC2" w14:textId="269F21C2" w:rsidR="00813AAF" w:rsidRPr="00407B5E" w:rsidRDefault="00D35DE8" w:rsidP="00D34EA1">
            <w:pPr>
              <w:rPr>
                <w:rFonts w:ascii="Times New Roman" w:hAnsi="Times New Roman"/>
                <w:sz w:val="24"/>
                <w:szCs w:val="24"/>
                <w:lang w:val="ro-RO"/>
              </w:rPr>
            </w:pPr>
            <w:r w:rsidRPr="00407B5E">
              <w:rPr>
                <w:rFonts w:ascii="Times New Roman" w:hAnsi="Times New Roman"/>
                <w:sz w:val="24"/>
                <w:szCs w:val="24"/>
                <w:lang w:val="ro-RO"/>
              </w:rPr>
              <w:t>Acest fapt poate duce la suportarea de către furniz</w:t>
            </w:r>
            <w:r w:rsidR="00D34EA1" w:rsidRPr="00407B5E">
              <w:rPr>
                <w:rFonts w:ascii="Times New Roman" w:hAnsi="Times New Roman"/>
                <w:sz w:val="24"/>
                <w:szCs w:val="24"/>
                <w:lang w:val="ro-RO"/>
              </w:rPr>
              <w:t>orul central</w:t>
            </w:r>
            <w:r w:rsidRPr="00407B5E">
              <w:rPr>
                <w:rFonts w:ascii="Times New Roman" w:hAnsi="Times New Roman"/>
                <w:sz w:val="24"/>
                <w:szCs w:val="24"/>
                <w:lang w:val="ro-RO"/>
              </w:rPr>
              <w:t xml:space="preserve"> a unor costuri suplimentare, </w:t>
            </w:r>
            <w:r w:rsidR="00D34EA1" w:rsidRPr="00407B5E">
              <w:rPr>
                <w:rFonts w:ascii="Times New Roman" w:hAnsi="Times New Roman"/>
                <w:sz w:val="24"/>
                <w:szCs w:val="24"/>
                <w:lang w:val="ro-RO"/>
              </w:rPr>
              <w:t>care ar compromite desfășurarea unei activități fiabile ale acestuia</w:t>
            </w:r>
            <w:r w:rsidRPr="00407B5E">
              <w:rPr>
                <w:rFonts w:ascii="Times New Roman" w:hAnsi="Times New Roman"/>
                <w:sz w:val="24"/>
                <w:szCs w:val="24"/>
                <w:lang w:val="ro-RO"/>
              </w:rPr>
              <w:t>.</w:t>
            </w:r>
          </w:p>
          <w:p w14:paraId="12B5254E" w14:textId="2386B708" w:rsidR="00BE18D7" w:rsidRPr="00407B5E" w:rsidRDefault="00BE18D7" w:rsidP="00027BB7">
            <w:pPr>
              <w:rPr>
                <w:rFonts w:ascii="Times New Roman" w:hAnsi="Times New Roman"/>
                <w:sz w:val="24"/>
                <w:szCs w:val="24"/>
                <w:lang w:val="ro-RO"/>
              </w:rPr>
            </w:pPr>
          </w:p>
        </w:tc>
      </w:tr>
      <w:tr w:rsidR="00407B5E" w:rsidRPr="00407B5E"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4.</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Analiza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reglementare</w:t>
            </w:r>
            <w:r w:rsidR="00032B46" w:rsidRPr="00407B5E">
              <w:rPr>
                <w:rFonts w:ascii="Times New Roman" w:hAnsi="Times New Roman"/>
                <w:b/>
                <w:bCs/>
                <w:sz w:val="24"/>
                <w:szCs w:val="24"/>
                <w:lang w:val="ro-RO"/>
              </w:rPr>
              <w:t xml:space="preserve"> </w:t>
            </w:r>
          </w:p>
        </w:tc>
      </w:tr>
      <w:tr w:rsidR="00407B5E" w:rsidRPr="00407B5E"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4.1.</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public</w:t>
            </w:r>
          </w:p>
        </w:tc>
      </w:tr>
      <w:tr w:rsidR="00407B5E" w:rsidRPr="00407B5E" w14:paraId="02C0A74F" w14:textId="77777777" w:rsidTr="00945200">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C2052" w14:textId="465A708B" w:rsidR="00150D8D" w:rsidRPr="00407B5E" w:rsidRDefault="00EF4BED" w:rsidP="001D55C5">
            <w:pPr>
              <w:rPr>
                <w:rFonts w:ascii="Times New Roman" w:hAnsi="Times New Roman"/>
                <w:sz w:val="24"/>
                <w:szCs w:val="24"/>
                <w:lang w:val="ro-RO"/>
              </w:rPr>
            </w:pPr>
            <w:r w:rsidRPr="00407B5E">
              <w:rPr>
                <w:rFonts w:ascii="Times New Roman" w:hAnsi="Times New Roman"/>
                <w:sz w:val="24"/>
                <w:szCs w:val="24"/>
                <w:lang w:val="ro-RO"/>
              </w:rPr>
              <w:t>Nu a fost analizat impactul asupra sectorului public considerând faptul că m</w:t>
            </w:r>
            <w:r w:rsidR="003A22A0" w:rsidRPr="00407B5E">
              <w:rPr>
                <w:rFonts w:ascii="Times New Roman" w:hAnsi="Times New Roman"/>
                <w:sz w:val="24"/>
                <w:szCs w:val="24"/>
                <w:lang w:val="ro-RO"/>
              </w:rPr>
              <w:t xml:space="preserve">odificarea propusă nu implică un impact asupra structurii instituționale ale administrației publice. În același timp, nu sunt prevăzute acțiuni necesare privind reformarea structurală sau instituțională a entităților administrației publice. Funcțiile și competențele atribuite </w:t>
            </w:r>
            <w:r w:rsidR="001D55C5">
              <w:rPr>
                <w:rFonts w:ascii="Times New Roman" w:hAnsi="Times New Roman"/>
                <w:sz w:val="24"/>
                <w:szCs w:val="24"/>
                <w:lang w:val="ro-RO"/>
              </w:rPr>
              <w:t>FCEE</w:t>
            </w:r>
            <w:r w:rsidR="00CA0C26" w:rsidRPr="00407B5E">
              <w:rPr>
                <w:rFonts w:ascii="Times New Roman" w:hAnsi="Times New Roman"/>
                <w:sz w:val="24"/>
                <w:szCs w:val="24"/>
                <w:lang w:val="ro-RO"/>
              </w:rPr>
              <w:t>,</w:t>
            </w:r>
            <w:r w:rsidR="008768EC" w:rsidRPr="00407B5E">
              <w:rPr>
                <w:rFonts w:ascii="Times New Roman" w:hAnsi="Times New Roman"/>
                <w:sz w:val="24"/>
                <w:szCs w:val="24"/>
                <w:lang w:val="ro-RO"/>
              </w:rPr>
              <w:t xml:space="preserve"> </w:t>
            </w:r>
            <w:r w:rsidR="003A22A0" w:rsidRPr="00407B5E">
              <w:rPr>
                <w:rFonts w:ascii="Times New Roman" w:hAnsi="Times New Roman"/>
                <w:sz w:val="24"/>
                <w:szCs w:val="24"/>
                <w:lang w:val="ro-RO"/>
              </w:rPr>
              <w:t xml:space="preserve">nu afectează instituțiile publice. </w:t>
            </w:r>
          </w:p>
        </w:tc>
      </w:tr>
      <w:tr w:rsidR="00407B5E" w:rsidRPr="00407B5E"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4.2.</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financiar</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00CA2822"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argumentarea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costurilor</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estimative</w:t>
            </w:r>
          </w:p>
        </w:tc>
      </w:tr>
      <w:tr w:rsidR="00407B5E" w:rsidRPr="00407B5E" w14:paraId="14E8B5CF" w14:textId="77777777" w:rsidTr="00FB5C33">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CAECE1D" w14:textId="5432C4E7" w:rsidR="00EF4BED" w:rsidRPr="00407B5E" w:rsidRDefault="00EF4BED" w:rsidP="00452C6C">
            <w:pPr>
              <w:rPr>
                <w:rFonts w:ascii="Times New Roman" w:hAnsi="Times New Roman"/>
                <w:sz w:val="24"/>
                <w:szCs w:val="24"/>
                <w:lang w:val="ro-RO"/>
              </w:rPr>
            </w:pPr>
            <w:r w:rsidRPr="00407B5E">
              <w:rPr>
                <w:rFonts w:ascii="Times New Roman" w:hAnsi="Times New Roman"/>
                <w:sz w:val="24"/>
                <w:szCs w:val="24"/>
                <w:lang w:val="ro-RO"/>
              </w:rPr>
              <w:t xml:space="preserve">Implementarea </w:t>
            </w:r>
            <w:r w:rsidR="000F6615" w:rsidRPr="00407B5E">
              <w:rPr>
                <w:rFonts w:ascii="Times New Roman" w:hAnsi="Times New Roman"/>
                <w:sz w:val="24"/>
                <w:szCs w:val="24"/>
                <w:lang w:val="ro-RO"/>
              </w:rPr>
              <w:t>proiectului de modificare a metodologiei</w:t>
            </w:r>
            <w:r w:rsidR="008768EC" w:rsidRPr="00407B5E">
              <w:rPr>
                <w:rFonts w:ascii="Times New Roman" w:hAnsi="Times New Roman"/>
                <w:sz w:val="24"/>
                <w:szCs w:val="24"/>
                <w:lang w:val="ro-RO"/>
              </w:rPr>
              <w:t xml:space="preserve"> de calculare a prețurilor pentru furnizarea energiei electrice </w:t>
            </w:r>
            <w:r w:rsidR="000F6615" w:rsidRPr="00407B5E">
              <w:rPr>
                <w:rFonts w:ascii="Times New Roman" w:hAnsi="Times New Roman"/>
                <w:sz w:val="24"/>
                <w:szCs w:val="24"/>
                <w:lang w:val="ro-RO"/>
              </w:rPr>
              <w:t xml:space="preserve">de furnizorul central </w:t>
            </w:r>
            <w:r w:rsidRPr="00407B5E">
              <w:rPr>
                <w:rFonts w:ascii="Times New Roman" w:hAnsi="Times New Roman"/>
                <w:sz w:val="24"/>
                <w:szCs w:val="24"/>
                <w:lang w:val="ro-RO"/>
              </w:rPr>
              <w:t xml:space="preserve">nu presupune un impact financiar asupra bugetului public național, considerând faptul că toate cheltuielile privind </w:t>
            </w:r>
            <w:r w:rsidR="00874D81" w:rsidRPr="00407B5E">
              <w:rPr>
                <w:rFonts w:ascii="Times New Roman" w:hAnsi="Times New Roman"/>
                <w:sz w:val="24"/>
                <w:szCs w:val="24"/>
                <w:lang w:val="ro-RO"/>
              </w:rPr>
              <w:t xml:space="preserve">furnizarea energiei electrice urmează a fi suportate de </w:t>
            </w:r>
            <w:r w:rsidR="001D55C5">
              <w:rPr>
                <w:rFonts w:ascii="Times New Roman" w:hAnsi="Times New Roman"/>
                <w:sz w:val="24"/>
                <w:szCs w:val="24"/>
                <w:lang w:val="ro-RO"/>
              </w:rPr>
              <w:t>FCEE</w:t>
            </w:r>
            <w:r w:rsidR="00E44C69" w:rsidRPr="00407B5E">
              <w:rPr>
                <w:rFonts w:ascii="Times New Roman" w:hAnsi="Times New Roman"/>
                <w:sz w:val="24"/>
                <w:szCs w:val="24"/>
                <w:lang w:val="ro-RO"/>
              </w:rPr>
              <w:t xml:space="preserve"> și</w:t>
            </w:r>
            <w:r w:rsidR="00D35DE8" w:rsidRPr="00407B5E">
              <w:rPr>
                <w:rFonts w:ascii="Times New Roman" w:hAnsi="Times New Roman"/>
                <w:sz w:val="24"/>
                <w:szCs w:val="24"/>
                <w:lang w:val="ro-RO"/>
              </w:rPr>
              <w:t xml:space="preserve"> respectiv de</w:t>
            </w:r>
            <w:r w:rsidR="00E44C69" w:rsidRPr="00407B5E">
              <w:rPr>
                <w:rFonts w:ascii="Times New Roman" w:hAnsi="Times New Roman"/>
                <w:sz w:val="24"/>
                <w:szCs w:val="24"/>
                <w:lang w:val="ro-RO"/>
              </w:rPr>
              <w:t xml:space="preserve"> </w:t>
            </w:r>
            <w:r w:rsidR="000F6615" w:rsidRPr="00407B5E">
              <w:rPr>
                <w:rFonts w:ascii="Times New Roman" w:hAnsi="Times New Roman"/>
                <w:sz w:val="24"/>
                <w:szCs w:val="24"/>
                <w:lang w:val="ro-RO"/>
              </w:rPr>
              <w:t>părțile contractante ale acestuia</w:t>
            </w:r>
            <w:r w:rsidR="00D35DE8" w:rsidRPr="00407B5E">
              <w:rPr>
                <w:rFonts w:ascii="Times New Roman" w:hAnsi="Times New Roman"/>
                <w:sz w:val="24"/>
                <w:szCs w:val="24"/>
                <w:lang w:val="ro-RO"/>
              </w:rPr>
              <w:t xml:space="preserve"> prin intermediul prețului reglementat</w:t>
            </w:r>
            <w:r w:rsidRPr="00407B5E">
              <w:rPr>
                <w:rFonts w:ascii="Times New Roman" w:hAnsi="Times New Roman"/>
                <w:sz w:val="24"/>
                <w:szCs w:val="24"/>
                <w:lang w:val="ro-RO"/>
              </w:rPr>
              <w:t>.</w:t>
            </w:r>
          </w:p>
          <w:p w14:paraId="1FB24408" w14:textId="2F6135EE" w:rsidR="00FB5C33" w:rsidRPr="00407B5E" w:rsidRDefault="00EF4BED" w:rsidP="000F6615">
            <w:pPr>
              <w:rPr>
                <w:rFonts w:ascii="Times New Roman" w:hAnsi="Times New Roman"/>
                <w:sz w:val="24"/>
                <w:szCs w:val="24"/>
                <w:lang w:val="ro-RO"/>
              </w:rPr>
            </w:pPr>
            <w:r w:rsidRPr="00407B5E">
              <w:rPr>
                <w:rFonts w:ascii="Times New Roman" w:hAnsi="Times New Roman"/>
                <w:sz w:val="24"/>
                <w:szCs w:val="24"/>
                <w:lang w:val="ro-RO"/>
              </w:rPr>
              <w:t xml:space="preserve">De menționat aici că doar cheltuielile strict necesare și justificate urmează a fi incluse în costurile utilizate pentru determinarea și aprobarea </w:t>
            </w:r>
            <w:r w:rsidR="00E44C69" w:rsidRPr="00407B5E">
              <w:rPr>
                <w:rFonts w:ascii="Times New Roman" w:hAnsi="Times New Roman"/>
                <w:sz w:val="24"/>
                <w:szCs w:val="24"/>
                <w:lang w:val="ro-RO"/>
              </w:rPr>
              <w:t>prețurilor</w:t>
            </w:r>
            <w:r w:rsidRPr="00407B5E">
              <w:rPr>
                <w:rFonts w:ascii="Times New Roman" w:hAnsi="Times New Roman"/>
                <w:sz w:val="24"/>
                <w:szCs w:val="24"/>
                <w:lang w:val="ro-RO"/>
              </w:rPr>
              <w:t xml:space="preserve"> pentru </w:t>
            </w:r>
            <w:r w:rsidR="00E44C69" w:rsidRPr="00407B5E">
              <w:rPr>
                <w:rFonts w:ascii="Times New Roman" w:hAnsi="Times New Roman"/>
                <w:sz w:val="24"/>
                <w:szCs w:val="24"/>
                <w:lang w:val="ro-RO"/>
              </w:rPr>
              <w:t>furnizarea energiei electrice de către furnizor</w:t>
            </w:r>
            <w:r w:rsidR="000F6615" w:rsidRPr="00407B5E">
              <w:rPr>
                <w:rFonts w:ascii="Times New Roman" w:hAnsi="Times New Roman"/>
                <w:sz w:val="24"/>
                <w:szCs w:val="24"/>
                <w:lang w:val="ro-RO"/>
              </w:rPr>
              <w:t>ul</w:t>
            </w:r>
            <w:r w:rsidR="00E44C69" w:rsidRPr="00407B5E">
              <w:rPr>
                <w:rFonts w:ascii="Times New Roman" w:hAnsi="Times New Roman"/>
                <w:sz w:val="24"/>
                <w:szCs w:val="24"/>
                <w:lang w:val="ro-RO"/>
              </w:rPr>
              <w:t xml:space="preserve"> menționa</w:t>
            </w:r>
            <w:r w:rsidR="000F6615" w:rsidRPr="00407B5E">
              <w:rPr>
                <w:rFonts w:ascii="Times New Roman" w:hAnsi="Times New Roman"/>
                <w:sz w:val="24"/>
                <w:szCs w:val="24"/>
                <w:lang w:val="ro-RO"/>
              </w:rPr>
              <w:t>t</w:t>
            </w:r>
            <w:r w:rsidRPr="00407B5E">
              <w:rPr>
                <w:rFonts w:ascii="Times New Roman" w:hAnsi="Times New Roman"/>
                <w:sz w:val="24"/>
                <w:szCs w:val="24"/>
                <w:lang w:val="ro-RO"/>
              </w:rPr>
              <w:t xml:space="preserve">, funcția respectivă fiind în competența autorității de reglementare.   </w:t>
            </w:r>
          </w:p>
        </w:tc>
      </w:tr>
      <w:tr w:rsidR="00407B5E" w:rsidRPr="00407B5E"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4.3.</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sectorului</w:t>
            </w:r>
            <w:r w:rsidR="00032B46" w:rsidRPr="00407B5E">
              <w:rPr>
                <w:rFonts w:ascii="Times New Roman" w:hAnsi="Times New Roman"/>
                <w:sz w:val="24"/>
                <w:szCs w:val="24"/>
                <w:lang w:val="ro-RO"/>
              </w:rPr>
              <w:t xml:space="preserve"> </w:t>
            </w:r>
            <w:r w:rsidR="00CA2822" w:rsidRPr="00407B5E">
              <w:rPr>
                <w:rFonts w:ascii="Times New Roman" w:hAnsi="Times New Roman"/>
                <w:sz w:val="24"/>
                <w:szCs w:val="24"/>
                <w:lang w:val="ro-RO"/>
              </w:rPr>
              <w:t>privat</w:t>
            </w:r>
          </w:p>
        </w:tc>
      </w:tr>
      <w:tr w:rsidR="00407B5E" w:rsidRPr="00407B5E" w14:paraId="77A91B97" w14:textId="77777777" w:rsidTr="003A6FFB">
        <w:trPr>
          <w:trHeight w:val="1120"/>
        </w:trPr>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7028B5C" w14:textId="71EB06A6" w:rsidR="003149D4" w:rsidRPr="00407B5E" w:rsidRDefault="00126E53" w:rsidP="003A6FFB">
            <w:pPr>
              <w:rPr>
                <w:rFonts w:ascii="Times New Roman" w:hAnsi="Times New Roman"/>
                <w:sz w:val="24"/>
                <w:szCs w:val="24"/>
                <w:lang w:val="ro-RO"/>
              </w:rPr>
            </w:pPr>
            <w:r w:rsidRPr="00407B5E">
              <w:rPr>
                <w:rFonts w:ascii="Times New Roman" w:hAnsi="Times New Roman"/>
                <w:sz w:val="24"/>
                <w:szCs w:val="24"/>
                <w:lang w:val="ro-RO"/>
              </w:rPr>
              <w:t>U</w:t>
            </w:r>
            <w:r w:rsidR="00E4146D" w:rsidRPr="00407B5E">
              <w:rPr>
                <w:rFonts w:ascii="Times New Roman" w:hAnsi="Times New Roman"/>
                <w:sz w:val="24"/>
                <w:szCs w:val="24"/>
                <w:lang w:val="ro-RO"/>
              </w:rPr>
              <w:t xml:space="preserve">n impact particular asupra sectorului privat în urma implementării </w:t>
            </w:r>
            <w:r w:rsidR="00AE74DE" w:rsidRPr="00407B5E">
              <w:rPr>
                <w:rFonts w:ascii="Times New Roman" w:hAnsi="Times New Roman"/>
                <w:sz w:val="24"/>
                <w:szCs w:val="24"/>
                <w:lang w:val="ro-RO"/>
              </w:rPr>
              <w:t>noului act normativ</w:t>
            </w:r>
            <w:r w:rsidR="00E4146D" w:rsidRPr="00407B5E">
              <w:rPr>
                <w:rFonts w:ascii="Times New Roman" w:hAnsi="Times New Roman"/>
                <w:sz w:val="24"/>
                <w:szCs w:val="24"/>
                <w:lang w:val="ro-RO"/>
              </w:rPr>
              <w:t xml:space="preserve">, nu este previzionat, considerând că nu există costuri de conformare pentru IMM-uri sau alte entități care desfășoare o activitate economică. </w:t>
            </w:r>
          </w:p>
        </w:tc>
      </w:tr>
      <w:tr w:rsidR="00407B5E" w:rsidRPr="00407B5E" w14:paraId="760F595D" w14:textId="77777777" w:rsidTr="007D552E">
        <w:trPr>
          <w:trHeight w:val="223"/>
        </w:trPr>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758D5D1" w14:textId="10438315" w:rsidR="007D552E" w:rsidRPr="00407B5E" w:rsidRDefault="007D552E" w:rsidP="007D552E">
            <w:pPr>
              <w:rPr>
                <w:rFonts w:ascii="Times New Roman" w:hAnsi="Times New Roman"/>
                <w:sz w:val="24"/>
                <w:szCs w:val="24"/>
                <w:lang w:val="ro-RO"/>
              </w:rPr>
            </w:pPr>
            <w:r w:rsidRPr="00407B5E">
              <w:rPr>
                <w:rFonts w:ascii="Times New Roman" w:hAnsi="Times New Roman"/>
                <w:sz w:val="24"/>
                <w:szCs w:val="24"/>
                <w:lang w:val="ro-RO"/>
              </w:rPr>
              <w:t>4.4. Impactul social</w:t>
            </w:r>
          </w:p>
        </w:tc>
      </w:tr>
      <w:tr w:rsidR="00407B5E" w:rsidRPr="00407B5E" w14:paraId="23617150" w14:textId="77777777" w:rsidTr="003A5B9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D4A19D" w14:textId="51121FE1" w:rsidR="007D552E" w:rsidRPr="00407B5E" w:rsidRDefault="0066219D" w:rsidP="007D552E">
            <w:pPr>
              <w:rPr>
                <w:rFonts w:ascii="Times New Roman" w:hAnsi="Times New Roman"/>
                <w:sz w:val="24"/>
                <w:szCs w:val="24"/>
                <w:lang w:val="ro-RO"/>
              </w:rPr>
            </w:pPr>
            <w:r w:rsidRPr="00407B5E">
              <w:rPr>
                <w:rFonts w:ascii="Times New Roman" w:hAnsi="Times New Roman"/>
                <w:sz w:val="24"/>
                <w:szCs w:val="24"/>
                <w:lang w:val="ro-RO"/>
              </w:rPr>
              <w:t xml:space="preserve">Intrarea în vigoare a prevederilor actului normativ va avea un impact social nesemnificativ. La calcularea prețurilor pentru furnizarea energiei electrice se vor lua în considerare doar costurile strict necesare și justificate pentru a </w:t>
            </w:r>
            <w:r w:rsidR="0093190D" w:rsidRPr="00407B5E">
              <w:rPr>
                <w:rFonts w:ascii="Times New Roman" w:hAnsi="Times New Roman"/>
                <w:sz w:val="24"/>
                <w:szCs w:val="24"/>
                <w:lang w:val="ro-RO"/>
              </w:rPr>
              <w:t xml:space="preserve">asigura </w:t>
            </w:r>
            <w:r w:rsidRPr="00407B5E">
              <w:rPr>
                <w:rFonts w:ascii="Times New Roman" w:hAnsi="Times New Roman"/>
                <w:sz w:val="24"/>
                <w:szCs w:val="24"/>
                <w:lang w:val="ro-RO"/>
              </w:rPr>
              <w:t>desfășura</w:t>
            </w:r>
            <w:r w:rsidR="0093190D" w:rsidRPr="00407B5E">
              <w:rPr>
                <w:rFonts w:ascii="Times New Roman" w:hAnsi="Times New Roman"/>
                <w:sz w:val="24"/>
                <w:szCs w:val="24"/>
                <w:lang w:val="ro-RO"/>
              </w:rPr>
              <w:t>rea  la propriu a activității</w:t>
            </w:r>
            <w:r w:rsidRPr="00407B5E">
              <w:rPr>
                <w:rFonts w:ascii="Times New Roman" w:hAnsi="Times New Roman"/>
                <w:sz w:val="24"/>
                <w:szCs w:val="24"/>
                <w:lang w:val="ro-RO"/>
              </w:rPr>
              <w:t xml:space="preserve"> </w:t>
            </w:r>
            <w:r w:rsidR="001D55C5">
              <w:rPr>
                <w:rFonts w:ascii="Times New Roman" w:hAnsi="Times New Roman"/>
                <w:sz w:val="24"/>
                <w:szCs w:val="24"/>
                <w:lang w:val="ro-RO"/>
              </w:rPr>
              <w:t>FCEE</w:t>
            </w:r>
            <w:r w:rsidRPr="00407B5E">
              <w:rPr>
                <w:rFonts w:ascii="Times New Roman" w:hAnsi="Times New Roman"/>
                <w:sz w:val="24"/>
                <w:szCs w:val="24"/>
                <w:lang w:val="ro-RO"/>
              </w:rPr>
              <w:t xml:space="preserve">. Astfel va fi respectată transparența în procesul de formare a prețurilor. </w:t>
            </w:r>
            <w:r w:rsidRPr="00407B5E">
              <w:rPr>
                <w:rFonts w:ascii="Times New Roman" w:hAnsi="Times New Roman"/>
                <w:sz w:val="24"/>
                <w:szCs w:val="24"/>
                <w:lang w:val="ro-RO"/>
              </w:rPr>
              <w:lastRenderedPageBreak/>
              <w:t xml:space="preserve">Controlul respectării </w:t>
            </w:r>
            <w:r w:rsidR="0093190D" w:rsidRPr="00407B5E">
              <w:rPr>
                <w:rFonts w:ascii="Times New Roman" w:hAnsi="Times New Roman"/>
                <w:sz w:val="24"/>
                <w:szCs w:val="24"/>
                <w:lang w:val="ro-RO"/>
              </w:rPr>
              <w:t xml:space="preserve">transparenței în procesul de calculare a prețurilor este în competența </w:t>
            </w:r>
            <w:r w:rsidR="00736AD8" w:rsidRPr="00407B5E">
              <w:rPr>
                <w:rFonts w:ascii="Times New Roman" w:hAnsi="Times New Roman"/>
                <w:sz w:val="24"/>
                <w:szCs w:val="24"/>
                <w:lang w:val="ro-RO"/>
              </w:rPr>
              <w:t>ANRE</w:t>
            </w:r>
            <w:r w:rsidR="0093190D" w:rsidRPr="00407B5E">
              <w:rPr>
                <w:rFonts w:ascii="Times New Roman" w:hAnsi="Times New Roman"/>
                <w:sz w:val="24"/>
                <w:szCs w:val="24"/>
                <w:lang w:val="ro-RO"/>
              </w:rPr>
              <w:t xml:space="preserve">. </w:t>
            </w:r>
            <w:r w:rsidRPr="00407B5E">
              <w:rPr>
                <w:rFonts w:ascii="Times New Roman" w:hAnsi="Times New Roman"/>
                <w:sz w:val="24"/>
                <w:szCs w:val="24"/>
                <w:lang w:val="ro-RO"/>
              </w:rPr>
              <w:t xml:space="preserve">  </w:t>
            </w:r>
          </w:p>
          <w:p w14:paraId="1A1499EA" w14:textId="77777777" w:rsidR="007D552E" w:rsidRPr="00407B5E" w:rsidRDefault="007D552E" w:rsidP="007D552E">
            <w:pPr>
              <w:rPr>
                <w:rFonts w:ascii="Times New Roman" w:hAnsi="Times New Roman"/>
                <w:sz w:val="24"/>
                <w:szCs w:val="24"/>
                <w:lang w:val="ro-RO"/>
              </w:rPr>
            </w:pPr>
          </w:p>
        </w:tc>
      </w:tr>
      <w:tr w:rsidR="00407B5E" w:rsidRPr="00407B5E" w14:paraId="7424CF32" w14:textId="77777777" w:rsidTr="00392F5D">
        <w:trPr>
          <w:trHeight w:val="1253"/>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529115" w14:textId="3F3CDBB5" w:rsidR="008B4BE6" w:rsidRPr="00407B5E" w:rsidRDefault="00CA2822" w:rsidP="00F37ED4">
            <w:pPr>
              <w:rPr>
                <w:rFonts w:ascii="Times New Roman" w:hAnsi="Times New Roman"/>
                <w:sz w:val="24"/>
                <w:szCs w:val="24"/>
                <w:lang w:val="ro-RO"/>
              </w:rPr>
            </w:pPr>
            <w:r w:rsidRPr="00407B5E">
              <w:rPr>
                <w:rFonts w:ascii="Times New Roman" w:hAnsi="Times New Roman"/>
                <w:sz w:val="24"/>
                <w:szCs w:val="24"/>
                <w:lang w:val="ro-RO"/>
              </w:rPr>
              <w:lastRenderedPageBreak/>
              <w:t>4.4.1.</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datelor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cu</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caracter</w:t>
            </w:r>
            <w:r w:rsidR="00032B46" w:rsidRPr="00407B5E">
              <w:rPr>
                <w:rFonts w:ascii="Times New Roman" w:hAnsi="Times New Roman"/>
                <w:sz w:val="24"/>
                <w:szCs w:val="24"/>
                <w:lang w:val="ro-RO"/>
              </w:rPr>
              <w:t xml:space="preserve"> </w:t>
            </w:r>
            <w:r w:rsidR="006933C3" w:rsidRPr="00407B5E">
              <w:rPr>
                <w:rFonts w:ascii="Times New Roman" w:hAnsi="Times New Roman"/>
                <w:sz w:val="24"/>
                <w:szCs w:val="24"/>
                <w:lang w:val="ro-RO"/>
              </w:rPr>
              <w:t>personal</w:t>
            </w:r>
          </w:p>
          <w:p w14:paraId="78789FDC" w14:textId="5A39C740" w:rsidR="00BC2845" w:rsidRPr="00407B5E" w:rsidRDefault="00202015" w:rsidP="00F37ED4">
            <w:pPr>
              <w:rPr>
                <w:rFonts w:ascii="Times New Roman" w:hAnsi="Times New Roman"/>
                <w:sz w:val="24"/>
                <w:szCs w:val="24"/>
                <w:lang w:val="ro-RO"/>
              </w:rPr>
            </w:pPr>
            <w:r w:rsidRPr="00407B5E">
              <w:rPr>
                <w:rFonts w:ascii="Times New Roman" w:hAnsi="Times New Roman"/>
                <w:sz w:val="24"/>
                <w:szCs w:val="24"/>
                <w:lang w:val="ro-RO"/>
              </w:rPr>
              <w:t>Nu este aplicabil.</w:t>
            </w:r>
          </w:p>
          <w:p w14:paraId="102E6916" w14:textId="77777777" w:rsidR="008B4BE6" w:rsidRPr="00407B5E" w:rsidRDefault="00CA2822" w:rsidP="00452C6C">
            <w:pPr>
              <w:rPr>
                <w:rFonts w:ascii="Times New Roman" w:hAnsi="Times New Roman"/>
                <w:sz w:val="24"/>
                <w:szCs w:val="24"/>
                <w:lang w:val="ro-RO"/>
              </w:rPr>
            </w:pPr>
            <w:r w:rsidRPr="00407B5E">
              <w:rPr>
                <w:rFonts w:ascii="Times New Roman" w:hAnsi="Times New Roman"/>
                <w:sz w:val="24"/>
                <w:szCs w:val="24"/>
                <w:lang w:val="ro-RO"/>
              </w:rPr>
              <w:t>4.4.2.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echită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egalită</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de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gen</w:t>
            </w:r>
          </w:p>
          <w:p w14:paraId="5094B65C" w14:textId="611DB3B9" w:rsidR="00BC2845" w:rsidRPr="00407B5E" w:rsidRDefault="00BC2845"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5A26B0A1" w14:textId="77777777" w:rsidTr="00392F5D">
        <w:trPr>
          <w:trHeight w:val="600"/>
        </w:trPr>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564DE02" w14:textId="782F24FB" w:rsidR="001C364A" w:rsidRPr="00407B5E" w:rsidRDefault="006933C3" w:rsidP="001C364A">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5</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Impactul</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asupra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mediului</w:t>
            </w:r>
          </w:p>
          <w:p w14:paraId="1ED48608" w14:textId="4B202002" w:rsidR="001C364A" w:rsidRPr="00407B5E" w:rsidRDefault="00392F5D" w:rsidP="00392F5D">
            <w:pPr>
              <w:rPr>
                <w:rFonts w:ascii="Times New Roman" w:hAnsi="Times New Roman"/>
                <w:sz w:val="24"/>
                <w:szCs w:val="24"/>
                <w:lang w:val="ro-RO"/>
              </w:rPr>
            </w:pPr>
            <w:r w:rsidRPr="00407B5E">
              <w:rPr>
                <w:rFonts w:ascii="Times New Roman" w:hAnsi="Times New Roman"/>
                <w:sz w:val="24"/>
                <w:szCs w:val="24"/>
                <w:lang w:val="ro-RO"/>
              </w:rPr>
              <w:t>Nu este aplicabil.</w:t>
            </w:r>
          </w:p>
        </w:tc>
      </w:tr>
      <w:tr w:rsidR="00407B5E" w:rsidRPr="00407B5E"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F8237D" w14:textId="77777777" w:rsidR="008B4BE6" w:rsidRPr="00407B5E" w:rsidRDefault="006933C3" w:rsidP="00452C6C">
            <w:pPr>
              <w:rPr>
                <w:rFonts w:ascii="Times New Roman" w:hAnsi="Times New Roman"/>
                <w:sz w:val="24"/>
                <w:szCs w:val="24"/>
                <w:lang w:val="ro-RO"/>
              </w:rPr>
            </w:pPr>
            <w:r w:rsidRPr="00407B5E">
              <w:rPr>
                <w:rFonts w:ascii="Times New Roman" w:hAnsi="Times New Roman"/>
                <w:sz w:val="24"/>
                <w:szCs w:val="24"/>
                <w:lang w:val="ro-RO"/>
              </w:rPr>
              <w:t>4.</w:t>
            </w:r>
            <w:r w:rsidR="00CA2822" w:rsidRPr="00407B5E">
              <w:rPr>
                <w:rFonts w:ascii="Times New Roman" w:hAnsi="Times New Roman"/>
                <w:sz w:val="24"/>
                <w:szCs w:val="24"/>
                <w:lang w:val="ro-RO"/>
              </w:rPr>
              <w:t>6</w:t>
            </w:r>
            <w:r w:rsidRPr="00407B5E">
              <w:rPr>
                <w:rFonts w:ascii="Times New Roman" w:hAnsi="Times New Roman"/>
                <w:sz w:val="24"/>
                <w:szCs w:val="24"/>
                <w:lang w:val="ro-RO"/>
              </w:rPr>
              <w:t>.</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Alte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impacturi</w:t>
            </w:r>
            <w:r w:rsidR="00032B46" w:rsidRPr="00407B5E">
              <w:rPr>
                <w:rFonts w:ascii="Times New Roman" w:hAnsi="Times New Roman"/>
                <w:sz w:val="24"/>
                <w:szCs w:val="24"/>
                <w:lang w:val="ro-RO"/>
              </w:rPr>
              <w:t xml:space="preserve"> </w:t>
            </w:r>
            <w:r w:rsidR="00863417" w:rsidRPr="00407B5E">
              <w:rPr>
                <w:rFonts w:ascii="Times New Roman" w:hAnsi="Times New Roman"/>
                <w:sz w:val="24"/>
                <w:szCs w:val="24"/>
                <w:lang w:val="ro-RO"/>
              </w:rPr>
              <w:t>ș</w:t>
            </w:r>
            <w:r w:rsidRPr="00407B5E">
              <w:rPr>
                <w:rFonts w:ascii="Times New Roman" w:hAnsi="Times New Roman"/>
                <w:sz w:val="24"/>
                <w:szCs w:val="24"/>
                <w:lang w:val="ro-RO"/>
              </w:rPr>
              <w:t>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informa</w:t>
            </w:r>
            <w:r w:rsidR="00863417" w:rsidRPr="00407B5E">
              <w:rPr>
                <w:rFonts w:ascii="Times New Roman" w:hAnsi="Times New Roman"/>
                <w:sz w:val="24"/>
                <w:szCs w:val="24"/>
                <w:lang w:val="ro-RO"/>
              </w:rPr>
              <w:t>ț</w:t>
            </w:r>
            <w:r w:rsidRPr="00407B5E">
              <w:rPr>
                <w:rFonts w:ascii="Times New Roman" w:hAnsi="Times New Roman"/>
                <w:sz w:val="24"/>
                <w:szCs w:val="24"/>
                <w:lang w:val="ro-RO"/>
              </w:rPr>
              <w:t>ii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relevante</w:t>
            </w:r>
          </w:p>
          <w:p w14:paraId="033FD377" w14:textId="085DE367" w:rsidR="001C364A" w:rsidRPr="00407B5E" w:rsidRDefault="001C364A" w:rsidP="00392F5D">
            <w:pPr>
              <w:rPr>
                <w:rFonts w:ascii="Times New Roman" w:hAnsi="Times New Roman"/>
                <w:sz w:val="24"/>
                <w:szCs w:val="24"/>
                <w:lang w:val="ro-RO"/>
              </w:rPr>
            </w:pPr>
            <w:r w:rsidRPr="00407B5E">
              <w:rPr>
                <w:rFonts w:ascii="Times New Roman" w:hAnsi="Times New Roman"/>
                <w:sz w:val="24"/>
                <w:szCs w:val="24"/>
                <w:lang w:val="ro-RO"/>
              </w:rPr>
              <w:t xml:space="preserve">Nu este aplicabil. </w:t>
            </w:r>
          </w:p>
        </w:tc>
      </w:tr>
      <w:tr w:rsidR="00407B5E" w:rsidRPr="00407B5E"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407B5E" w:rsidRDefault="006933C3" w:rsidP="007C53A1">
            <w:pPr>
              <w:rPr>
                <w:rFonts w:ascii="Times New Roman" w:hAnsi="Times New Roman"/>
                <w:b/>
                <w:bCs/>
                <w:sz w:val="24"/>
                <w:szCs w:val="24"/>
                <w:lang w:val="ro-RO"/>
              </w:rPr>
            </w:pPr>
            <w:r w:rsidRPr="00407B5E">
              <w:rPr>
                <w:rFonts w:ascii="Times New Roman" w:hAnsi="Times New Roman"/>
                <w:b/>
                <w:bCs/>
                <w:sz w:val="24"/>
                <w:szCs w:val="24"/>
                <w:lang w:val="ro-RO"/>
              </w:rPr>
              <w:t>5.</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Compatibilitatea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legisla</w:t>
            </w:r>
            <w:r w:rsidR="00863417" w:rsidRPr="00407B5E">
              <w:rPr>
                <w:rFonts w:ascii="Times New Roman" w:hAnsi="Times New Roman"/>
                <w:b/>
                <w:bCs/>
                <w:sz w:val="24"/>
                <w:szCs w:val="24"/>
                <w:lang w:val="ro-RO"/>
              </w:rPr>
              <w:t>ț</w:t>
            </w:r>
            <w:r w:rsidRPr="00407B5E">
              <w:rPr>
                <w:rFonts w:ascii="Times New Roman" w:hAnsi="Times New Roman"/>
                <w:b/>
                <w:bCs/>
                <w:sz w:val="24"/>
                <w:szCs w:val="24"/>
                <w:lang w:val="ro-RO"/>
              </w:rPr>
              <w:t>ia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UE</w:t>
            </w:r>
            <w:r w:rsidR="00032B46" w:rsidRPr="00407B5E">
              <w:rPr>
                <w:rFonts w:ascii="Times New Roman" w:hAnsi="Times New Roman"/>
                <w:b/>
                <w:bCs/>
                <w:sz w:val="24"/>
                <w:szCs w:val="24"/>
                <w:lang w:val="ro-RO"/>
              </w:rPr>
              <w:t xml:space="preserve"> </w:t>
            </w:r>
          </w:p>
        </w:tc>
      </w:tr>
      <w:tr w:rsidR="00407B5E" w:rsidRPr="00407B5E" w14:paraId="564B5E4C" w14:textId="77777777" w:rsidTr="00745692">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991B487" w14:textId="77777777" w:rsidR="00976847"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5.1.</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necesare</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transpuner</w:t>
            </w:r>
            <w:r w:rsidR="006E0A2E" w:rsidRPr="00407B5E">
              <w:rPr>
                <w:rFonts w:ascii="Times New Roman" w:hAnsi="Times New Roman"/>
                <w:sz w:val="24"/>
                <w:szCs w:val="24"/>
                <w:lang w:val="ro-RO"/>
              </w:rPr>
              <w:t>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actelor</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ale</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r w:rsidR="00825DC9" w:rsidRPr="00407B5E">
              <w:rPr>
                <w:rFonts w:ascii="Times New Roman" w:hAnsi="Times New Roman"/>
                <w:sz w:val="24"/>
                <w:szCs w:val="24"/>
                <w:lang w:val="ro-RO"/>
              </w:rPr>
              <w:t xml:space="preserve"> în legislația națională</w:t>
            </w:r>
          </w:p>
          <w:p w14:paraId="5EC5689E" w14:textId="421A3BA2" w:rsidR="008B4BE6"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 </w:t>
            </w:r>
          </w:p>
        </w:tc>
      </w:tr>
      <w:tr w:rsidR="00407B5E" w:rsidRPr="00407B5E" w14:paraId="1541F0C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D7780E" w14:textId="77777777" w:rsidR="003C3DB4" w:rsidRPr="00407B5E" w:rsidRDefault="006933C3" w:rsidP="007C53A1">
            <w:pPr>
              <w:rPr>
                <w:rFonts w:ascii="Times New Roman" w:hAnsi="Times New Roman"/>
                <w:sz w:val="24"/>
                <w:szCs w:val="24"/>
                <w:lang w:val="ro-RO"/>
              </w:rPr>
            </w:pPr>
            <w:r w:rsidRPr="00407B5E">
              <w:rPr>
                <w:rFonts w:ascii="Times New Roman" w:hAnsi="Times New Roman"/>
                <w:sz w:val="24"/>
                <w:szCs w:val="24"/>
                <w:lang w:val="ro-RO"/>
              </w:rPr>
              <w:t>5.2.</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Măsuri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normative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care</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urmăresc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crearea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cadrului</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juridic</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intern</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necesar</w:t>
            </w:r>
            <w:r w:rsidR="00032B46" w:rsidRPr="00407B5E">
              <w:rPr>
                <w:rFonts w:ascii="Times New Roman" w:hAnsi="Times New Roman"/>
                <w:sz w:val="24"/>
                <w:szCs w:val="24"/>
                <w:lang w:val="ro-RO"/>
              </w:rPr>
              <w:t xml:space="preserve"> </w:t>
            </w:r>
            <w:r w:rsidR="006E0A2E" w:rsidRPr="00407B5E">
              <w:rPr>
                <w:rFonts w:ascii="Times New Roman" w:hAnsi="Times New Roman"/>
                <w:sz w:val="24"/>
                <w:szCs w:val="24"/>
                <w:lang w:val="ro-RO"/>
              </w:rPr>
              <w:t xml:space="preserve">pentru </w:t>
            </w:r>
            <w:r w:rsidRPr="00407B5E">
              <w:rPr>
                <w:rFonts w:ascii="Times New Roman" w:hAnsi="Times New Roman"/>
                <w:sz w:val="24"/>
                <w:szCs w:val="24"/>
                <w:lang w:val="ro-RO"/>
              </w:rPr>
              <w:t>implement</w:t>
            </w:r>
            <w:r w:rsidR="006E0A2E" w:rsidRPr="00407B5E">
              <w:rPr>
                <w:rFonts w:ascii="Times New Roman" w:hAnsi="Times New Roman"/>
                <w:sz w:val="24"/>
                <w:szCs w:val="24"/>
                <w:lang w:val="ro-RO"/>
              </w:rPr>
              <w:t>area</w:t>
            </w:r>
            <w:r w:rsidR="00032B46" w:rsidRPr="00407B5E">
              <w:rPr>
                <w:rFonts w:ascii="Times New Roman" w:hAnsi="Times New Roman"/>
                <w:sz w:val="24"/>
                <w:szCs w:val="24"/>
                <w:lang w:val="ro-RO"/>
              </w:rPr>
              <w:t xml:space="preserve"> </w:t>
            </w:r>
            <w:r w:rsidRPr="00407B5E">
              <w:rPr>
                <w:rFonts w:ascii="Times New Roman" w:hAnsi="Times New Roman"/>
                <w:sz w:val="24"/>
                <w:szCs w:val="24"/>
                <w:lang w:val="ro-RO"/>
              </w:rPr>
              <w:t>legisla</w:t>
            </w:r>
            <w:r w:rsidR="00863417" w:rsidRPr="00407B5E">
              <w:rPr>
                <w:rFonts w:ascii="Times New Roman" w:hAnsi="Times New Roman"/>
                <w:sz w:val="24"/>
                <w:szCs w:val="24"/>
                <w:lang w:val="ro-RO"/>
              </w:rPr>
              <w:t>ț</w:t>
            </w:r>
            <w:r w:rsidRPr="00407B5E">
              <w:rPr>
                <w:rFonts w:ascii="Times New Roman" w:hAnsi="Times New Roman"/>
                <w:sz w:val="24"/>
                <w:szCs w:val="24"/>
                <w:lang w:val="ro-RO"/>
              </w:rPr>
              <w:t>iei</w:t>
            </w:r>
            <w:r w:rsidR="00032B46" w:rsidRPr="00407B5E">
              <w:rPr>
                <w:rFonts w:ascii="Times New Roman" w:hAnsi="Times New Roman"/>
                <w:sz w:val="24"/>
                <w:szCs w:val="24"/>
                <w:lang w:val="ro-RO"/>
              </w:rPr>
              <w:t xml:space="preserve"> </w:t>
            </w:r>
            <w:r w:rsidR="007C53A1" w:rsidRPr="00407B5E">
              <w:rPr>
                <w:rFonts w:ascii="Times New Roman" w:hAnsi="Times New Roman"/>
                <w:sz w:val="24"/>
                <w:szCs w:val="24"/>
                <w:lang w:val="ro-RO"/>
              </w:rPr>
              <w:t>UE</w:t>
            </w:r>
          </w:p>
          <w:p w14:paraId="246D6ED7" w14:textId="036E9A09" w:rsidR="00976847" w:rsidRPr="00407B5E" w:rsidRDefault="00976847" w:rsidP="007C53A1">
            <w:pPr>
              <w:rPr>
                <w:rFonts w:ascii="Times New Roman" w:hAnsi="Times New Roman"/>
                <w:sz w:val="24"/>
                <w:szCs w:val="24"/>
                <w:lang w:val="ro-RO"/>
              </w:rPr>
            </w:pPr>
            <w:r w:rsidRPr="00407B5E">
              <w:rPr>
                <w:rFonts w:ascii="Times New Roman" w:hAnsi="Times New Roman"/>
                <w:sz w:val="24"/>
                <w:szCs w:val="24"/>
                <w:lang w:val="ro-RO"/>
              </w:rPr>
              <w:t xml:space="preserve"> Nu este aplicabil.</w:t>
            </w:r>
          </w:p>
        </w:tc>
      </w:tr>
      <w:tr w:rsidR="00407B5E" w:rsidRPr="00407B5E" w14:paraId="531AA3AA"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20BA5A61" w:rsidR="008B4BE6" w:rsidRPr="00407B5E" w:rsidRDefault="00032B46" w:rsidP="00F37ED4">
            <w:pPr>
              <w:rPr>
                <w:rFonts w:ascii="Times New Roman" w:hAnsi="Times New Roman"/>
                <w:sz w:val="24"/>
                <w:szCs w:val="24"/>
                <w:lang w:val="ro-RO"/>
              </w:rPr>
            </w:pPr>
            <w:r w:rsidRPr="00407B5E">
              <w:rPr>
                <w:rFonts w:ascii="Times New Roman" w:hAnsi="Times New Roman"/>
                <w:sz w:val="24"/>
                <w:szCs w:val="24"/>
                <w:lang w:val="ro-RO"/>
              </w:rPr>
              <w:t xml:space="preserve"> </w:t>
            </w:r>
          </w:p>
        </w:tc>
      </w:tr>
      <w:tr w:rsidR="00407B5E" w:rsidRPr="00407B5E"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6.</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Avizarea</w:t>
            </w:r>
            <w:r w:rsidR="00032B46" w:rsidRPr="00407B5E">
              <w:rPr>
                <w:rFonts w:ascii="Times New Roman" w:hAnsi="Times New Roman"/>
                <w:b/>
                <w:bCs/>
                <w:sz w:val="24"/>
                <w:szCs w:val="24"/>
                <w:lang w:val="ro-RO"/>
              </w:rPr>
              <w:t xml:space="preserve"> </w:t>
            </w:r>
            <w:r w:rsidR="00863417" w:rsidRPr="00407B5E">
              <w:rPr>
                <w:rFonts w:ascii="Times New Roman" w:hAnsi="Times New Roman"/>
                <w:b/>
                <w:bCs/>
                <w:sz w:val="24"/>
                <w:szCs w:val="24"/>
                <w:lang w:val="ro-RO"/>
              </w:rPr>
              <w:t>ș</w:t>
            </w:r>
            <w:r w:rsidRPr="00407B5E">
              <w:rPr>
                <w:rFonts w:ascii="Times New Roman" w:hAnsi="Times New Roman"/>
                <w:b/>
                <w:bCs/>
                <w:sz w:val="24"/>
                <w:szCs w:val="24"/>
                <w:lang w:val="ro-RO"/>
              </w:rPr>
              <w:t>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consultarea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publică</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407B5E" w:rsidRPr="00407B5E"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8D3BF1A" w14:textId="75ABDEBB" w:rsidR="00F544A2" w:rsidRPr="00407B5E" w:rsidRDefault="001D55C5" w:rsidP="002E6FC8">
            <w:pPr>
              <w:rPr>
                <w:rFonts w:ascii="Times New Roman" w:hAnsi="Times New Roman"/>
                <w:bCs/>
                <w:sz w:val="24"/>
                <w:szCs w:val="24"/>
                <w:lang w:val="ro-RO"/>
              </w:rPr>
            </w:pPr>
            <w:r>
              <w:rPr>
                <w:rFonts w:ascii="Times New Roman" w:hAnsi="Times New Roman"/>
                <w:bCs/>
                <w:sz w:val="24"/>
                <w:szCs w:val="24"/>
                <w:lang w:val="ro-RO"/>
              </w:rPr>
              <w:t xml:space="preserve">Pentru respectarea transparenței în procesul decizional precum și în procesul de elaborare/modificare a actelor normative </w:t>
            </w:r>
            <w:r w:rsidR="00F544A2" w:rsidRPr="00407B5E">
              <w:rPr>
                <w:rFonts w:ascii="Times New Roman" w:hAnsi="Times New Roman"/>
                <w:sz w:val="24"/>
                <w:szCs w:val="24"/>
                <w:lang w:val="ro-RO"/>
              </w:rPr>
              <w:t xml:space="preserve">în conformitate cu Legea nr. 239/2008 privind transparența în procesul decizional </w:t>
            </w:r>
            <w:r w:rsidR="00745692" w:rsidRPr="00407B5E">
              <w:rPr>
                <w:rFonts w:ascii="Times New Roman" w:hAnsi="Times New Roman"/>
                <w:sz w:val="24"/>
                <w:szCs w:val="24"/>
                <w:lang w:val="ro-RO"/>
              </w:rPr>
              <w:t>și</w:t>
            </w:r>
            <w:r w:rsidR="00F544A2" w:rsidRPr="00407B5E">
              <w:rPr>
                <w:rFonts w:ascii="Times New Roman" w:hAnsi="Times New Roman"/>
                <w:sz w:val="24"/>
                <w:szCs w:val="24"/>
                <w:lang w:val="ro-RO"/>
              </w:rPr>
              <w:t xml:space="preserve"> Legea nr. 100/20</w:t>
            </w:r>
            <w:r w:rsidR="00A648CB" w:rsidRPr="00407B5E">
              <w:rPr>
                <w:rFonts w:ascii="Times New Roman" w:hAnsi="Times New Roman"/>
                <w:sz w:val="24"/>
                <w:szCs w:val="24"/>
                <w:lang w:val="ro-RO"/>
              </w:rPr>
              <w:t>17 privind actele normative</w:t>
            </w:r>
            <w:r w:rsidR="001820A3">
              <w:rPr>
                <w:rFonts w:ascii="Times New Roman" w:hAnsi="Times New Roman"/>
                <w:sz w:val="24"/>
                <w:szCs w:val="24"/>
                <w:lang w:val="ro-RO"/>
              </w:rPr>
              <w:t>,</w:t>
            </w:r>
            <w:r>
              <w:rPr>
                <w:rFonts w:ascii="Times New Roman" w:hAnsi="Times New Roman"/>
                <w:bCs/>
                <w:sz w:val="24"/>
                <w:szCs w:val="24"/>
                <w:lang w:val="ro-RO"/>
              </w:rPr>
              <w:t xml:space="preserve"> n</w:t>
            </w:r>
            <w:r w:rsidR="00F544A2" w:rsidRPr="00407B5E">
              <w:rPr>
                <w:rFonts w:ascii="Times New Roman" w:hAnsi="Times New Roman"/>
                <w:bCs/>
                <w:sz w:val="24"/>
                <w:szCs w:val="24"/>
                <w:lang w:val="ro-RO"/>
              </w:rPr>
              <w:t>ot</w:t>
            </w:r>
            <w:r>
              <w:rPr>
                <w:rFonts w:ascii="Times New Roman" w:hAnsi="Times New Roman"/>
                <w:bCs/>
                <w:sz w:val="24"/>
                <w:szCs w:val="24"/>
                <w:lang w:val="ro-RO"/>
              </w:rPr>
              <w:t>a</w:t>
            </w:r>
            <w:r w:rsidR="00F544A2" w:rsidRPr="00407B5E">
              <w:rPr>
                <w:rFonts w:ascii="Times New Roman" w:hAnsi="Times New Roman"/>
                <w:bCs/>
                <w:sz w:val="24"/>
                <w:szCs w:val="24"/>
                <w:lang w:val="ro-RO"/>
              </w:rPr>
              <w:t xml:space="preserve"> de fundamentare și proiectului de hotărâre </w:t>
            </w:r>
            <w:r w:rsidR="004B457D" w:rsidRPr="00407B5E">
              <w:rPr>
                <w:rFonts w:ascii="Times New Roman" w:hAnsi="Times New Roman"/>
                <w:bCs/>
                <w:sz w:val="24"/>
                <w:szCs w:val="24"/>
                <w:lang w:val="ro-RO"/>
              </w:rPr>
              <w:t xml:space="preserve">cu privire la </w:t>
            </w:r>
            <w:r w:rsidR="001820A3">
              <w:rPr>
                <w:rFonts w:ascii="Times New Roman" w:hAnsi="Times New Roman"/>
                <w:bCs/>
                <w:sz w:val="24"/>
                <w:szCs w:val="24"/>
                <w:lang w:val="ro-RO"/>
              </w:rPr>
              <w:t>modificarea</w:t>
            </w:r>
            <w:r w:rsidR="001820A3" w:rsidRPr="00407B5E">
              <w:rPr>
                <w:rFonts w:ascii="Times New Roman" w:hAnsi="Times New Roman"/>
                <w:bCs/>
                <w:sz w:val="24"/>
                <w:szCs w:val="24"/>
                <w:lang w:val="ro-RO"/>
              </w:rPr>
              <w:t xml:space="preserve"> </w:t>
            </w:r>
            <w:r w:rsidR="004B457D" w:rsidRPr="00407B5E">
              <w:rPr>
                <w:rFonts w:ascii="Times New Roman" w:hAnsi="Times New Roman"/>
                <w:bCs/>
                <w:sz w:val="24"/>
                <w:szCs w:val="24"/>
                <w:lang w:val="ro-RO"/>
              </w:rPr>
              <w:t>Metodologi</w:t>
            </w:r>
            <w:r w:rsidR="001820A3">
              <w:rPr>
                <w:rFonts w:ascii="Times New Roman" w:hAnsi="Times New Roman"/>
                <w:bCs/>
                <w:sz w:val="24"/>
                <w:szCs w:val="24"/>
                <w:lang w:val="ro-RO"/>
              </w:rPr>
              <w:t>ei</w:t>
            </w:r>
            <w:r w:rsidR="004B457D" w:rsidRPr="00407B5E">
              <w:rPr>
                <w:rFonts w:ascii="Times New Roman" w:hAnsi="Times New Roman"/>
                <w:bCs/>
                <w:sz w:val="24"/>
                <w:szCs w:val="24"/>
                <w:lang w:val="ro-RO"/>
              </w:rPr>
              <w:t xml:space="preserve"> de calculare, aprobare și aplicare a prețurilor reglementate pentru </w:t>
            </w:r>
            <w:r w:rsidR="009B27B9" w:rsidRPr="00407B5E">
              <w:rPr>
                <w:rFonts w:ascii="Times New Roman" w:hAnsi="Times New Roman"/>
                <w:bCs/>
                <w:sz w:val="24"/>
                <w:szCs w:val="24"/>
                <w:lang w:val="ro-RO"/>
              </w:rPr>
              <w:t xml:space="preserve">energia electrică </w:t>
            </w:r>
            <w:r w:rsidR="004B457D" w:rsidRPr="00407B5E">
              <w:rPr>
                <w:rFonts w:ascii="Times New Roman" w:hAnsi="Times New Roman"/>
                <w:bCs/>
                <w:sz w:val="24"/>
                <w:szCs w:val="24"/>
                <w:lang w:val="ro-RO"/>
              </w:rPr>
              <w:t>furniza</w:t>
            </w:r>
            <w:r w:rsidR="009B27B9" w:rsidRPr="00407B5E">
              <w:rPr>
                <w:rFonts w:ascii="Times New Roman" w:hAnsi="Times New Roman"/>
                <w:bCs/>
                <w:sz w:val="24"/>
                <w:szCs w:val="24"/>
                <w:lang w:val="ro-RO"/>
              </w:rPr>
              <w:t>tă</w:t>
            </w:r>
            <w:r w:rsidR="004B457D" w:rsidRPr="00407B5E">
              <w:rPr>
                <w:rFonts w:ascii="Times New Roman" w:hAnsi="Times New Roman"/>
                <w:bCs/>
                <w:sz w:val="24"/>
                <w:szCs w:val="24"/>
                <w:lang w:val="ro-RO"/>
              </w:rPr>
              <w:t xml:space="preserve"> de către furnizorul </w:t>
            </w:r>
            <w:r w:rsidR="009B27B9" w:rsidRPr="00407B5E">
              <w:rPr>
                <w:rFonts w:ascii="Times New Roman" w:hAnsi="Times New Roman"/>
                <w:bCs/>
                <w:sz w:val="24"/>
                <w:szCs w:val="24"/>
                <w:lang w:val="ro-RO"/>
              </w:rPr>
              <w:t>central de energie electrică</w:t>
            </w:r>
            <w:r w:rsidR="001820A3">
              <w:rPr>
                <w:rFonts w:ascii="Times New Roman" w:hAnsi="Times New Roman"/>
                <w:bCs/>
                <w:sz w:val="24"/>
                <w:szCs w:val="24"/>
                <w:lang w:val="ro-RO"/>
              </w:rPr>
              <w:t xml:space="preserve"> urmează a fi expuse</w:t>
            </w:r>
            <w:r>
              <w:rPr>
                <w:rFonts w:ascii="Times New Roman" w:hAnsi="Times New Roman"/>
                <w:bCs/>
                <w:sz w:val="24"/>
                <w:szCs w:val="24"/>
                <w:lang w:val="ro-RO"/>
              </w:rPr>
              <w:t xml:space="preserve"> consultărilor publice prin plasarea pe pagina web oficială a Agenției</w:t>
            </w:r>
            <w:r w:rsidR="001820A3">
              <w:rPr>
                <w:rFonts w:ascii="Times New Roman" w:hAnsi="Times New Roman"/>
                <w:bCs/>
                <w:sz w:val="24"/>
                <w:szCs w:val="24"/>
                <w:lang w:val="ro-RO"/>
              </w:rPr>
              <w:t xml:space="preserve"> la compartimentul </w:t>
            </w:r>
            <w:r w:rsidR="001820A3" w:rsidRPr="002E6FC8">
              <w:rPr>
                <w:bCs/>
                <w:i/>
                <w:sz w:val="24"/>
                <w:szCs w:val="24"/>
                <w:lang w:val="ro-RO"/>
              </w:rPr>
              <w:t>(Transparența Decizională/Proiecte supuse consultărilor publice)</w:t>
            </w:r>
            <w:r>
              <w:rPr>
                <w:rFonts w:ascii="Times New Roman" w:hAnsi="Times New Roman"/>
                <w:bCs/>
                <w:sz w:val="24"/>
                <w:szCs w:val="24"/>
                <w:lang w:val="ro-RO"/>
              </w:rPr>
              <w:t xml:space="preserve">, concomitent cu solicitarea avizelor de la entitățile afectate de modificarea respectivă și alte părți interesate. </w:t>
            </w:r>
          </w:p>
          <w:p w14:paraId="7E6045F3" w14:textId="6A3EC9AB" w:rsidR="008B4BE6" w:rsidRPr="00407B5E" w:rsidRDefault="008B4BE6" w:rsidP="003E17A1">
            <w:pPr>
              <w:ind w:firstLine="573"/>
              <w:rPr>
                <w:rFonts w:ascii="Times New Roman" w:hAnsi="Times New Roman"/>
                <w:bCs/>
                <w:sz w:val="24"/>
                <w:szCs w:val="24"/>
                <w:lang w:val="ro-RO"/>
              </w:rPr>
            </w:pPr>
          </w:p>
        </w:tc>
      </w:tr>
      <w:tr w:rsidR="00407B5E" w:rsidRPr="00407B5E"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7.</w:t>
            </w:r>
            <w:r w:rsidR="00032B46" w:rsidRPr="00407B5E">
              <w:rPr>
                <w:rFonts w:ascii="Times New Roman" w:hAnsi="Times New Roman"/>
                <w:b/>
                <w:bCs/>
                <w:sz w:val="24"/>
                <w:szCs w:val="24"/>
                <w:lang w:val="ro-RO"/>
              </w:rPr>
              <w:t xml:space="preserve"> </w:t>
            </w:r>
            <w:r w:rsidR="00A95A2D" w:rsidRPr="00407B5E">
              <w:rPr>
                <w:rFonts w:ascii="Times New Roman" w:hAnsi="Times New Roman"/>
                <w:b/>
                <w:bCs/>
                <w:sz w:val="24"/>
                <w:szCs w:val="24"/>
                <w:lang w:val="ro-RO"/>
              </w:rPr>
              <w:t>C</w:t>
            </w:r>
            <w:r w:rsidRPr="00407B5E">
              <w:rPr>
                <w:rFonts w:ascii="Times New Roman" w:hAnsi="Times New Roman"/>
                <w:b/>
                <w:bCs/>
                <w:sz w:val="24"/>
                <w:szCs w:val="24"/>
                <w:lang w:val="ro-RO"/>
              </w:rPr>
              <w:t>oncluziile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expertizelor</w:t>
            </w:r>
          </w:p>
        </w:tc>
      </w:tr>
      <w:tr w:rsidR="00407B5E" w:rsidRPr="00407B5E"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692CCE1B" w:rsidR="00A867D5" w:rsidRPr="00407B5E" w:rsidRDefault="00032B46" w:rsidP="00DB252A">
            <w:pPr>
              <w:rPr>
                <w:rFonts w:ascii="Times New Roman" w:hAnsi="Times New Roman"/>
                <w:bCs/>
                <w:sz w:val="24"/>
                <w:szCs w:val="24"/>
                <w:lang w:val="ro-RO"/>
              </w:rPr>
            </w:pPr>
            <w:r w:rsidRPr="00407B5E">
              <w:rPr>
                <w:rFonts w:ascii="Times New Roman" w:hAnsi="Times New Roman"/>
                <w:bCs/>
                <w:sz w:val="24"/>
                <w:szCs w:val="24"/>
                <w:lang w:val="ro-RO"/>
              </w:rPr>
              <w:t xml:space="preserve"> </w:t>
            </w:r>
            <w:r w:rsidR="00DB252A" w:rsidRPr="00407B5E">
              <w:rPr>
                <w:rFonts w:ascii="Times New Roman" w:hAnsi="Times New Roman"/>
                <w:bCs/>
                <w:sz w:val="24"/>
                <w:szCs w:val="24"/>
                <w:lang w:val="ro-RO"/>
              </w:rPr>
              <w:t>Urmează a fi completat</w:t>
            </w:r>
            <w:r w:rsidR="001D55C5">
              <w:rPr>
                <w:rFonts w:ascii="Times New Roman" w:hAnsi="Times New Roman"/>
                <w:bCs/>
                <w:sz w:val="24"/>
                <w:szCs w:val="24"/>
                <w:lang w:val="ro-RO"/>
              </w:rPr>
              <w:t>.</w:t>
            </w:r>
          </w:p>
        </w:tc>
      </w:tr>
      <w:tr w:rsidR="00407B5E" w:rsidRPr="00407B5E"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407B5E" w:rsidRDefault="006933C3" w:rsidP="00452C6C">
            <w:pPr>
              <w:rPr>
                <w:rFonts w:ascii="Times New Roman" w:hAnsi="Times New Roman"/>
                <w:b/>
                <w:bCs/>
                <w:sz w:val="24"/>
                <w:szCs w:val="24"/>
                <w:lang w:val="ro-RO"/>
              </w:rPr>
            </w:pPr>
            <w:r w:rsidRPr="00407B5E">
              <w:rPr>
                <w:rFonts w:ascii="Times New Roman" w:hAnsi="Times New Roman"/>
                <w:b/>
                <w:bCs/>
                <w:sz w:val="24"/>
                <w:szCs w:val="24"/>
                <w:lang w:val="ro-RO"/>
              </w:rPr>
              <w:t>8.</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Modul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de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încorporare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în</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cadrul</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r w:rsidR="00032B46" w:rsidRPr="00407B5E">
              <w:rPr>
                <w:rFonts w:ascii="Times New Roman" w:hAnsi="Times New Roman"/>
                <w:b/>
                <w:bCs/>
                <w:sz w:val="24"/>
                <w:szCs w:val="24"/>
                <w:lang w:val="ro-RO"/>
              </w:rPr>
              <w:t xml:space="preserve"> </w:t>
            </w:r>
            <w:r w:rsidR="007C53A1" w:rsidRPr="00407B5E">
              <w:rPr>
                <w:rFonts w:ascii="Times New Roman" w:hAnsi="Times New Roman"/>
                <w:b/>
                <w:bCs/>
                <w:sz w:val="24"/>
                <w:szCs w:val="24"/>
                <w:lang w:val="ro-RO"/>
              </w:rPr>
              <w:t>existent</w:t>
            </w:r>
          </w:p>
        </w:tc>
      </w:tr>
      <w:tr w:rsidR="00407B5E" w:rsidRPr="00407B5E"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D8C9D7C" w:rsidR="008B4BE6" w:rsidRPr="00407B5E" w:rsidRDefault="004E1A88" w:rsidP="002E6FC8">
            <w:pPr>
              <w:ind w:firstLine="0"/>
              <w:rPr>
                <w:rFonts w:ascii="Times New Roman" w:hAnsi="Times New Roman"/>
                <w:sz w:val="24"/>
                <w:szCs w:val="24"/>
                <w:lang w:val="ro-RO"/>
              </w:rPr>
            </w:pPr>
            <w:r w:rsidRPr="00407B5E">
              <w:rPr>
                <w:rFonts w:ascii="Times New Roman" w:hAnsi="Times New Roman"/>
                <w:sz w:val="24"/>
                <w:szCs w:val="24"/>
                <w:lang w:val="ro-RO"/>
              </w:rPr>
              <w:t xml:space="preserve">         </w:t>
            </w:r>
            <w:r w:rsidR="00032B46" w:rsidRPr="00407B5E">
              <w:rPr>
                <w:rFonts w:ascii="Times New Roman" w:hAnsi="Times New Roman"/>
                <w:sz w:val="24"/>
                <w:szCs w:val="24"/>
                <w:lang w:val="ro-RO"/>
              </w:rPr>
              <w:t xml:space="preserve"> </w:t>
            </w:r>
            <w:r w:rsidR="00672C38" w:rsidRPr="00407B5E">
              <w:rPr>
                <w:rFonts w:ascii="Times New Roman" w:hAnsi="Times New Roman"/>
                <w:sz w:val="24"/>
                <w:szCs w:val="24"/>
                <w:lang w:val="ro-RO"/>
              </w:rPr>
              <w:t xml:space="preserve">Pentru a implementa prevederile proiectului de hotărâre cu privire la </w:t>
            </w:r>
            <w:r w:rsidR="00DC2114" w:rsidRPr="00407B5E">
              <w:rPr>
                <w:rFonts w:ascii="Times New Roman" w:hAnsi="Times New Roman"/>
                <w:sz w:val="24"/>
                <w:szCs w:val="24"/>
                <w:lang w:val="ro-RO"/>
              </w:rPr>
              <w:t xml:space="preserve">aprobarea </w:t>
            </w:r>
            <w:r w:rsidR="00315D9E" w:rsidRPr="00407B5E">
              <w:rPr>
                <w:rFonts w:ascii="Times New Roman" w:hAnsi="Times New Roman"/>
                <w:sz w:val="24"/>
                <w:szCs w:val="24"/>
                <w:lang w:val="ro-RO"/>
              </w:rPr>
              <w:t xml:space="preserve">proiectului de modificare a </w:t>
            </w:r>
            <w:r w:rsidR="00DC2114" w:rsidRPr="00407B5E">
              <w:rPr>
                <w:rFonts w:ascii="Times New Roman" w:hAnsi="Times New Roman"/>
                <w:sz w:val="24"/>
                <w:szCs w:val="24"/>
                <w:lang w:val="ro-RO"/>
              </w:rPr>
              <w:t>Metodologiei nu este necesitatea de a modifica careva acte normative</w:t>
            </w:r>
            <w:r w:rsidR="00672C38" w:rsidRPr="00407B5E">
              <w:rPr>
                <w:rFonts w:ascii="Times New Roman" w:hAnsi="Times New Roman"/>
                <w:sz w:val="24"/>
                <w:szCs w:val="24"/>
                <w:lang w:val="ro-RO"/>
              </w:rPr>
              <w:t>.</w:t>
            </w:r>
            <w:r w:rsidR="00672C38" w:rsidRPr="00407B5E">
              <w:rPr>
                <w:rFonts w:ascii="Times New Roman" w:hAnsi="Times New Roman"/>
                <w:b/>
                <w:sz w:val="24"/>
                <w:szCs w:val="24"/>
                <w:lang w:val="ro-RO"/>
              </w:rPr>
              <w:t xml:space="preserve"> </w:t>
            </w:r>
          </w:p>
        </w:tc>
      </w:tr>
      <w:tr w:rsidR="00407B5E" w:rsidRPr="00407B5E"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407B5E" w:rsidRDefault="006933C3" w:rsidP="00F37ED4">
            <w:pPr>
              <w:rPr>
                <w:rFonts w:ascii="Times New Roman" w:hAnsi="Times New Roman"/>
                <w:b/>
                <w:bCs/>
                <w:sz w:val="24"/>
                <w:szCs w:val="24"/>
                <w:lang w:val="ro-RO"/>
              </w:rPr>
            </w:pPr>
            <w:r w:rsidRPr="00407B5E">
              <w:rPr>
                <w:rFonts w:ascii="Times New Roman" w:hAnsi="Times New Roman"/>
                <w:b/>
                <w:bCs/>
                <w:sz w:val="24"/>
                <w:szCs w:val="24"/>
                <w:lang w:val="ro-RO"/>
              </w:rPr>
              <w:t>9.</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Măsuri</w:t>
            </w:r>
            <w:r w:rsidR="0036135C" w:rsidRPr="00407B5E">
              <w:rPr>
                <w:rFonts w:ascii="Times New Roman" w:hAnsi="Times New Roman"/>
                <w:b/>
                <w:bCs/>
                <w:sz w:val="24"/>
                <w:szCs w:val="24"/>
                <w:lang w:val="ro-RO"/>
              </w:rPr>
              <w:t>le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necesare</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pentru</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implementarea</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prevederilor</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proiectului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actului</w:t>
            </w:r>
            <w:r w:rsidR="00032B46" w:rsidRPr="00407B5E">
              <w:rPr>
                <w:rFonts w:ascii="Times New Roman" w:hAnsi="Times New Roman"/>
                <w:b/>
                <w:bCs/>
                <w:sz w:val="24"/>
                <w:szCs w:val="24"/>
                <w:lang w:val="ro-RO"/>
              </w:rPr>
              <w:t xml:space="preserve"> </w:t>
            </w:r>
            <w:r w:rsidRPr="00407B5E">
              <w:rPr>
                <w:rFonts w:ascii="Times New Roman" w:hAnsi="Times New Roman"/>
                <w:b/>
                <w:bCs/>
                <w:sz w:val="24"/>
                <w:szCs w:val="24"/>
                <w:lang w:val="ro-RO"/>
              </w:rPr>
              <w:t>normativ</w:t>
            </w:r>
          </w:p>
        </w:tc>
      </w:tr>
      <w:tr w:rsidR="00B93D10" w:rsidRPr="00407B5E"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E0519A6" w14:textId="3D01923A" w:rsidR="00E53722" w:rsidRPr="00407B5E" w:rsidRDefault="006E5F9C" w:rsidP="002C009B">
            <w:pPr>
              <w:rPr>
                <w:rFonts w:ascii="Times New Roman" w:hAnsi="Times New Roman"/>
                <w:sz w:val="24"/>
                <w:szCs w:val="24"/>
                <w:lang w:val="ro-RO"/>
              </w:rPr>
            </w:pPr>
            <w:r w:rsidRPr="00407B5E">
              <w:rPr>
                <w:rFonts w:ascii="Times New Roman" w:hAnsi="Times New Roman"/>
                <w:sz w:val="24"/>
                <w:szCs w:val="24"/>
                <w:lang w:val="ro-RO"/>
              </w:rPr>
              <w:t>Pentru p</w:t>
            </w:r>
            <w:r w:rsidR="00336906" w:rsidRPr="00407B5E">
              <w:rPr>
                <w:rFonts w:ascii="Times New Roman" w:hAnsi="Times New Roman"/>
                <w:sz w:val="24"/>
                <w:szCs w:val="24"/>
                <w:lang w:val="ro-RO"/>
              </w:rPr>
              <w:t>unerea în aplicare a</w:t>
            </w:r>
            <w:r w:rsidR="00032B46" w:rsidRPr="00407B5E">
              <w:rPr>
                <w:rFonts w:ascii="Times New Roman" w:hAnsi="Times New Roman"/>
                <w:sz w:val="24"/>
                <w:szCs w:val="24"/>
                <w:lang w:val="ro-RO"/>
              </w:rPr>
              <w:t xml:space="preserve"> </w:t>
            </w:r>
            <w:r w:rsidR="004C4E86" w:rsidRPr="00407B5E">
              <w:rPr>
                <w:rFonts w:ascii="Times New Roman" w:hAnsi="Times New Roman"/>
                <w:sz w:val="24"/>
                <w:szCs w:val="24"/>
                <w:lang w:val="ro-RO"/>
              </w:rPr>
              <w:t>prevederilor actului normativ și atingerea obiectivelor</w:t>
            </w:r>
            <w:r w:rsidR="000B338B" w:rsidRPr="00407B5E">
              <w:rPr>
                <w:rFonts w:ascii="Times New Roman" w:hAnsi="Times New Roman"/>
                <w:sz w:val="24"/>
                <w:szCs w:val="24"/>
                <w:lang w:val="ro-RO"/>
              </w:rPr>
              <w:t>,</w:t>
            </w:r>
            <w:r w:rsidR="004C4E86" w:rsidRPr="00407B5E">
              <w:rPr>
                <w:rFonts w:ascii="Times New Roman" w:hAnsi="Times New Roman"/>
                <w:sz w:val="24"/>
                <w:szCs w:val="24"/>
                <w:lang w:val="ro-RO"/>
              </w:rPr>
              <w:t xml:space="preserve"> </w:t>
            </w:r>
            <w:r w:rsidR="00A95BD3" w:rsidRPr="00407B5E">
              <w:rPr>
                <w:rFonts w:ascii="Times New Roman" w:hAnsi="Times New Roman"/>
                <w:sz w:val="24"/>
                <w:szCs w:val="24"/>
                <w:lang w:val="ro-RO"/>
              </w:rPr>
              <w:t>părțile responsabile de implementare - furnizor</w:t>
            </w:r>
            <w:r w:rsidR="00315D9E" w:rsidRPr="00407B5E">
              <w:rPr>
                <w:rFonts w:ascii="Times New Roman" w:hAnsi="Times New Roman"/>
                <w:sz w:val="24"/>
                <w:szCs w:val="24"/>
                <w:lang w:val="ro-RO"/>
              </w:rPr>
              <w:t>ul</w:t>
            </w:r>
            <w:r w:rsidR="00A95BD3" w:rsidRPr="00407B5E">
              <w:rPr>
                <w:rFonts w:ascii="Times New Roman" w:hAnsi="Times New Roman"/>
                <w:sz w:val="24"/>
                <w:szCs w:val="24"/>
                <w:lang w:val="ro-RO"/>
              </w:rPr>
              <w:t xml:space="preserve"> </w:t>
            </w:r>
            <w:r w:rsidR="00315D9E" w:rsidRPr="00407B5E">
              <w:rPr>
                <w:rFonts w:ascii="Times New Roman" w:hAnsi="Times New Roman"/>
                <w:sz w:val="24"/>
                <w:szCs w:val="24"/>
                <w:lang w:val="ro-RO"/>
              </w:rPr>
              <w:t>central de energie electrică</w:t>
            </w:r>
            <w:r w:rsidR="006C03AF" w:rsidRPr="00407B5E">
              <w:rPr>
                <w:rFonts w:ascii="Times New Roman" w:hAnsi="Times New Roman"/>
                <w:sz w:val="24"/>
                <w:szCs w:val="24"/>
                <w:lang w:val="ro-RO"/>
              </w:rPr>
              <w:t xml:space="preserve"> urmează </w:t>
            </w:r>
            <w:r w:rsidR="00D0376D" w:rsidRPr="00407B5E">
              <w:rPr>
                <w:rFonts w:ascii="Times New Roman" w:hAnsi="Times New Roman"/>
                <w:sz w:val="24"/>
                <w:szCs w:val="24"/>
                <w:lang w:val="ro-RO"/>
              </w:rPr>
              <w:t xml:space="preserve">să întreprindă măsuri de informare a publicului </w:t>
            </w:r>
            <w:r w:rsidR="000B338B" w:rsidRPr="00407B5E">
              <w:rPr>
                <w:rFonts w:ascii="Times New Roman" w:hAnsi="Times New Roman"/>
                <w:sz w:val="24"/>
                <w:szCs w:val="24"/>
                <w:lang w:val="ro-RO"/>
              </w:rPr>
              <w:t xml:space="preserve">despre </w:t>
            </w:r>
            <w:r w:rsidR="00D0376D" w:rsidRPr="00407B5E">
              <w:rPr>
                <w:rFonts w:ascii="Times New Roman" w:hAnsi="Times New Roman"/>
                <w:sz w:val="24"/>
                <w:szCs w:val="24"/>
                <w:lang w:val="ro-RO"/>
              </w:rPr>
              <w:t xml:space="preserve">opțiunea de formare a prețurilor pentru energia electrică furnizată, </w:t>
            </w:r>
            <w:r w:rsidR="002C009B" w:rsidRPr="00407B5E">
              <w:rPr>
                <w:rFonts w:ascii="Times New Roman" w:hAnsi="Times New Roman"/>
                <w:sz w:val="24"/>
                <w:szCs w:val="24"/>
                <w:lang w:val="ro-RO"/>
              </w:rPr>
              <w:t>care va include component</w:t>
            </w:r>
            <w:r w:rsidR="00315D9E" w:rsidRPr="00407B5E">
              <w:rPr>
                <w:rFonts w:ascii="Times New Roman" w:hAnsi="Times New Roman"/>
                <w:sz w:val="24"/>
                <w:szCs w:val="24"/>
                <w:lang w:val="ro-RO"/>
              </w:rPr>
              <w:t>ele noi</w:t>
            </w:r>
            <w:r w:rsidR="00E53722" w:rsidRPr="00407B5E">
              <w:rPr>
                <w:rFonts w:ascii="Times New Roman" w:hAnsi="Times New Roman"/>
                <w:sz w:val="24"/>
                <w:szCs w:val="24"/>
                <w:lang w:val="ro-RO"/>
              </w:rPr>
              <w:t>.</w:t>
            </w:r>
          </w:p>
          <w:p w14:paraId="35423DE1" w14:textId="72CC2F9C" w:rsidR="008B4BE6" w:rsidRPr="00407B5E" w:rsidRDefault="000B338B" w:rsidP="00E70734">
            <w:pPr>
              <w:rPr>
                <w:rFonts w:ascii="Times New Roman" w:hAnsi="Times New Roman"/>
                <w:sz w:val="24"/>
                <w:szCs w:val="24"/>
                <w:lang w:val="ro-RO"/>
              </w:rPr>
            </w:pPr>
            <w:r w:rsidRPr="00407B5E">
              <w:rPr>
                <w:rFonts w:ascii="Times New Roman" w:hAnsi="Times New Roman"/>
                <w:sz w:val="24"/>
                <w:szCs w:val="24"/>
                <w:lang w:val="ro-RO"/>
              </w:rPr>
              <w:t>De menționat, că i</w:t>
            </w:r>
            <w:r w:rsidR="00834831" w:rsidRPr="00407B5E">
              <w:rPr>
                <w:rFonts w:ascii="Times New Roman" w:hAnsi="Times New Roman"/>
                <w:sz w:val="24"/>
                <w:szCs w:val="24"/>
                <w:lang w:val="ro-RO"/>
              </w:rPr>
              <w:t>nstituțiile</w:t>
            </w:r>
            <w:r w:rsidR="00487F45" w:rsidRPr="00407B5E">
              <w:rPr>
                <w:rFonts w:ascii="Times New Roman" w:hAnsi="Times New Roman"/>
                <w:sz w:val="24"/>
                <w:szCs w:val="24"/>
                <w:lang w:val="ro-RO"/>
              </w:rPr>
              <w:t xml:space="preserve"> responsabile de implementarea prevederilor actului normativ </w:t>
            </w:r>
            <w:r w:rsidRPr="00407B5E">
              <w:rPr>
                <w:rFonts w:ascii="Times New Roman" w:hAnsi="Times New Roman"/>
                <w:sz w:val="24"/>
                <w:szCs w:val="24"/>
                <w:lang w:val="ro-RO"/>
              </w:rPr>
              <w:t>au capacități materiale, umane și financiare, precum și nivelul necesar de competență</w:t>
            </w:r>
            <w:r w:rsidR="00E70734" w:rsidRPr="00407B5E">
              <w:rPr>
                <w:rFonts w:ascii="Times New Roman" w:hAnsi="Times New Roman"/>
                <w:sz w:val="24"/>
                <w:szCs w:val="24"/>
                <w:lang w:val="ro-RO"/>
              </w:rPr>
              <w:t xml:space="preserve"> pentru realizarea obiectivelor menționate</w:t>
            </w:r>
            <w:r w:rsidRPr="00407B5E">
              <w:rPr>
                <w:rFonts w:ascii="Times New Roman" w:hAnsi="Times New Roman"/>
                <w:sz w:val="24"/>
                <w:szCs w:val="24"/>
                <w:lang w:val="ro-RO"/>
              </w:rPr>
              <w:t>.</w:t>
            </w:r>
            <w:r w:rsidR="00E70734" w:rsidRPr="00407B5E">
              <w:rPr>
                <w:rFonts w:ascii="Times New Roman" w:hAnsi="Times New Roman"/>
                <w:sz w:val="24"/>
                <w:szCs w:val="24"/>
                <w:lang w:val="ro-RO"/>
              </w:rPr>
              <w:t xml:space="preserve"> Se așteaptă ca efectul din implementarea prevederilor actului normativ să fie imediat, odată cu necesitatea ajustării prețurilor pentru furnizarea energiei electrice conform prevederilor acestuia.</w:t>
            </w:r>
          </w:p>
        </w:tc>
      </w:tr>
    </w:tbl>
    <w:p w14:paraId="6C5979B8" w14:textId="609D1B1D" w:rsidR="008B4BE6" w:rsidRPr="00407B5E" w:rsidRDefault="008B4BE6" w:rsidP="00B667D1">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sectPr w:rsidR="008B4BE6" w:rsidRPr="00407B5E" w:rsidSect="00A02A31">
      <w:headerReference w:type="default" r:id="rId11"/>
      <w:headerReference w:type="first" r:id="rId12"/>
      <w:pgSz w:w="11907" w:h="16840"/>
      <w:pgMar w:top="1134" w:right="567" w:bottom="993"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D4784" w14:textId="77777777" w:rsidR="007F26EB" w:rsidRDefault="007F26EB">
      <w:r>
        <w:separator/>
      </w:r>
    </w:p>
  </w:endnote>
  <w:endnote w:type="continuationSeparator" w:id="0">
    <w:p w14:paraId="23583600" w14:textId="77777777" w:rsidR="007F26EB" w:rsidRDefault="007F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00000000"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2854C" w14:textId="77777777" w:rsidR="007F26EB" w:rsidRDefault="007F26EB">
      <w:r>
        <w:separator/>
      </w:r>
    </w:p>
  </w:footnote>
  <w:footnote w:type="continuationSeparator" w:id="0">
    <w:p w14:paraId="51ECEF08" w14:textId="77777777" w:rsidR="007F26EB" w:rsidRDefault="007F26E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D07A16" w:rsidRPr="00F37ED4" w:rsidRDefault="00D07A16" w:rsidP="009D4C0F">
    <w:pPr>
      <w:pStyle w:val="af6"/>
      <w:ind w:firstLine="0"/>
      <w:jc w:val="center"/>
      <w:rPr>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24B1" w14:textId="77777777" w:rsidR="00D07A16" w:rsidRPr="00032B46" w:rsidRDefault="00D07A16">
    <w:pPr>
      <w:pStyle w:val="af6"/>
      <w:ind w:firstLine="0"/>
      <w:rPr>
        <w:sz w:val="28"/>
        <w:szCs w:val="28"/>
        <w:lang w:val="ro-R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E7142"/>
    <w:multiLevelType w:val="hybridMultilevel"/>
    <w:tmpl w:val="F99695AC"/>
    <w:lvl w:ilvl="0" w:tplc="DE32DC88">
      <w:start w:val="1"/>
      <w:numFmt w:val="decimal"/>
      <w:lvlText w:val="%1."/>
      <w:lvlJc w:val="left"/>
      <w:pPr>
        <w:ind w:left="947" w:hanging="360"/>
      </w:pPr>
      <w:rPr>
        <w:rFonts w:hint="default"/>
        <w:i w:val="0"/>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1" w15:restartNumberingAfterBreak="0">
    <w:nsid w:val="12200B79"/>
    <w:multiLevelType w:val="hybridMultilevel"/>
    <w:tmpl w:val="A3AC712E"/>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2" w15:restartNumberingAfterBreak="0">
    <w:nsid w:val="1D9648D1"/>
    <w:multiLevelType w:val="hybridMultilevel"/>
    <w:tmpl w:val="590EE400"/>
    <w:lvl w:ilvl="0" w:tplc="0419000F">
      <w:start w:val="1"/>
      <w:numFmt w:val="decimal"/>
      <w:lvlText w:val="%1."/>
      <w:lvlJc w:val="left"/>
      <w:pPr>
        <w:ind w:left="1489" w:hanging="360"/>
      </w:p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3" w15:restartNumberingAfterBreak="0">
    <w:nsid w:val="1E597A4B"/>
    <w:multiLevelType w:val="hybridMultilevel"/>
    <w:tmpl w:val="A2F0772E"/>
    <w:lvl w:ilvl="0" w:tplc="FE7ED284">
      <w:numFmt w:val="bullet"/>
      <w:lvlText w:val="–"/>
      <w:lvlJc w:val="left"/>
      <w:pPr>
        <w:ind w:left="1489" w:hanging="360"/>
      </w:pPr>
      <w:rPr>
        <w:rFonts w:ascii="Times New Roman" w:eastAsia="Calibri" w:hAnsi="Times New Roman" w:cs="Times New Roman"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4" w15:restartNumberingAfterBreak="0">
    <w:nsid w:val="1E864427"/>
    <w:multiLevelType w:val="hybridMultilevel"/>
    <w:tmpl w:val="FC7E02A4"/>
    <w:lvl w:ilvl="0" w:tplc="55029030">
      <w:start w:val="1"/>
      <w:numFmt w:val="decimal"/>
      <w:lvlText w:val="%1)"/>
      <w:lvlJc w:val="left"/>
      <w:pPr>
        <w:ind w:left="950" w:hanging="360"/>
      </w:pPr>
      <w:rPr>
        <w:rFonts w:hint="default"/>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5" w15:restartNumberingAfterBreak="0">
    <w:nsid w:val="1EE03DB0"/>
    <w:multiLevelType w:val="hybridMultilevel"/>
    <w:tmpl w:val="BAE46B48"/>
    <w:lvl w:ilvl="0" w:tplc="40BCC6DE">
      <w:start w:val="1"/>
      <w:numFmt w:val="decimal"/>
      <w:lvlText w:val="%1."/>
      <w:lvlJc w:val="left"/>
      <w:pPr>
        <w:ind w:left="1091" w:hanging="360"/>
      </w:pPr>
      <w:rPr>
        <w:rFonts w:hint="default"/>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6" w15:restartNumberingAfterBreak="0">
    <w:nsid w:val="27F7795D"/>
    <w:multiLevelType w:val="hybridMultilevel"/>
    <w:tmpl w:val="84E0098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7" w15:restartNumberingAfterBreak="0">
    <w:nsid w:val="295612EA"/>
    <w:multiLevelType w:val="hybridMultilevel"/>
    <w:tmpl w:val="B3E03916"/>
    <w:lvl w:ilvl="0" w:tplc="0D14FE60">
      <w:start w:val="1"/>
      <w:numFmt w:val="decimal"/>
      <w:lvlText w:val="%1."/>
      <w:lvlJc w:val="left"/>
      <w:pPr>
        <w:ind w:left="1778"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2E78663D"/>
    <w:multiLevelType w:val="hybridMultilevel"/>
    <w:tmpl w:val="74964284"/>
    <w:lvl w:ilvl="0" w:tplc="0D14FE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17F075B"/>
    <w:multiLevelType w:val="hybridMultilevel"/>
    <w:tmpl w:val="40CAE8BC"/>
    <w:lvl w:ilvl="0" w:tplc="321E35B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D035257"/>
    <w:multiLevelType w:val="hybridMultilevel"/>
    <w:tmpl w:val="3182B6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E1C7DE0"/>
    <w:multiLevelType w:val="hybridMultilevel"/>
    <w:tmpl w:val="B0A2A374"/>
    <w:lvl w:ilvl="0" w:tplc="0409000D">
      <w:start w:val="1"/>
      <w:numFmt w:val="bullet"/>
      <w:lvlText w:val=""/>
      <w:lvlJc w:val="left"/>
      <w:pPr>
        <w:ind w:left="1811" w:hanging="360"/>
      </w:pPr>
      <w:rPr>
        <w:rFonts w:ascii="Wingdings" w:hAnsi="Wingdings" w:hint="default"/>
      </w:rPr>
    </w:lvl>
    <w:lvl w:ilvl="1" w:tplc="04090003" w:tentative="1">
      <w:start w:val="1"/>
      <w:numFmt w:val="bullet"/>
      <w:lvlText w:val="o"/>
      <w:lvlJc w:val="left"/>
      <w:pPr>
        <w:ind w:left="2531" w:hanging="360"/>
      </w:pPr>
      <w:rPr>
        <w:rFonts w:ascii="Courier New" w:hAnsi="Courier New" w:cs="Courier New" w:hint="default"/>
      </w:rPr>
    </w:lvl>
    <w:lvl w:ilvl="2" w:tplc="04090005" w:tentative="1">
      <w:start w:val="1"/>
      <w:numFmt w:val="bullet"/>
      <w:lvlText w:val=""/>
      <w:lvlJc w:val="left"/>
      <w:pPr>
        <w:ind w:left="3251" w:hanging="360"/>
      </w:pPr>
      <w:rPr>
        <w:rFonts w:ascii="Wingdings" w:hAnsi="Wingdings" w:hint="default"/>
      </w:rPr>
    </w:lvl>
    <w:lvl w:ilvl="3" w:tplc="04090001" w:tentative="1">
      <w:start w:val="1"/>
      <w:numFmt w:val="bullet"/>
      <w:lvlText w:val=""/>
      <w:lvlJc w:val="left"/>
      <w:pPr>
        <w:ind w:left="3971" w:hanging="360"/>
      </w:pPr>
      <w:rPr>
        <w:rFonts w:ascii="Symbol" w:hAnsi="Symbol" w:hint="default"/>
      </w:rPr>
    </w:lvl>
    <w:lvl w:ilvl="4" w:tplc="04090003" w:tentative="1">
      <w:start w:val="1"/>
      <w:numFmt w:val="bullet"/>
      <w:lvlText w:val="o"/>
      <w:lvlJc w:val="left"/>
      <w:pPr>
        <w:ind w:left="4691" w:hanging="360"/>
      </w:pPr>
      <w:rPr>
        <w:rFonts w:ascii="Courier New" w:hAnsi="Courier New" w:cs="Courier New" w:hint="default"/>
      </w:rPr>
    </w:lvl>
    <w:lvl w:ilvl="5" w:tplc="04090005" w:tentative="1">
      <w:start w:val="1"/>
      <w:numFmt w:val="bullet"/>
      <w:lvlText w:val=""/>
      <w:lvlJc w:val="left"/>
      <w:pPr>
        <w:ind w:left="5411" w:hanging="360"/>
      </w:pPr>
      <w:rPr>
        <w:rFonts w:ascii="Wingdings" w:hAnsi="Wingdings" w:hint="default"/>
      </w:rPr>
    </w:lvl>
    <w:lvl w:ilvl="6" w:tplc="04090001" w:tentative="1">
      <w:start w:val="1"/>
      <w:numFmt w:val="bullet"/>
      <w:lvlText w:val=""/>
      <w:lvlJc w:val="left"/>
      <w:pPr>
        <w:ind w:left="6131" w:hanging="360"/>
      </w:pPr>
      <w:rPr>
        <w:rFonts w:ascii="Symbol" w:hAnsi="Symbol" w:hint="default"/>
      </w:rPr>
    </w:lvl>
    <w:lvl w:ilvl="7" w:tplc="04090003" w:tentative="1">
      <w:start w:val="1"/>
      <w:numFmt w:val="bullet"/>
      <w:lvlText w:val="o"/>
      <w:lvlJc w:val="left"/>
      <w:pPr>
        <w:ind w:left="6851" w:hanging="360"/>
      </w:pPr>
      <w:rPr>
        <w:rFonts w:ascii="Courier New" w:hAnsi="Courier New" w:cs="Courier New" w:hint="default"/>
      </w:rPr>
    </w:lvl>
    <w:lvl w:ilvl="8" w:tplc="04090005" w:tentative="1">
      <w:start w:val="1"/>
      <w:numFmt w:val="bullet"/>
      <w:lvlText w:val=""/>
      <w:lvlJc w:val="left"/>
      <w:pPr>
        <w:ind w:left="7571" w:hanging="360"/>
      </w:pPr>
      <w:rPr>
        <w:rFonts w:ascii="Wingdings" w:hAnsi="Wingdings" w:hint="default"/>
      </w:rPr>
    </w:lvl>
  </w:abstractNum>
  <w:abstractNum w:abstractNumId="12" w15:restartNumberingAfterBreak="0">
    <w:nsid w:val="40623E17"/>
    <w:multiLevelType w:val="hybridMultilevel"/>
    <w:tmpl w:val="0EC057B8"/>
    <w:lvl w:ilvl="0" w:tplc="9E3CD55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3" w15:restartNumberingAfterBreak="0">
    <w:nsid w:val="422835BD"/>
    <w:multiLevelType w:val="hybridMultilevel"/>
    <w:tmpl w:val="A894E43C"/>
    <w:lvl w:ilvl="0" w:tplc="0D14FE60">
      <w:start w:val="1"/>
      <w:numFmt w:val="decimal"/>
      <w:lvlText w:val="%1."/>
      <w:lvlJc w:val="left"/>
      <w:pPr>
        <w:ind w:left="1659" w:hanging="360"/>
      </w:pPr>
      <w:rPr>
        <w:rFonts w:hint="default"/>
      </w:rPr>
    </w:lvl>
    <w:lvl w:ilvl="1" w:tplc="04090019" w:tentative="1">
      <w:start w:val="1"/>
      <w:numFmt w:val="lowerLetter"/>
      <w:lvlText w:val="%2."/>
      <w:lvlJc w:val="left"/>
      <w:pPr>
        <w:ind w:left="2030" w:hanging="360"/>
      </w:pPr>
    </w:lvl>
    <w:lvl w:ilvl="2" w:tplc="0409001B" w:tentative="1">
      <w:start w:val="1"/>
      <w:numFmt w:val="lowerRoman"/>
      <w:lvlText w:val="%3."/>
      <w:lvlJc w:val="right"/>
      <w:pPr>
        <w:ind w:left="2750" w:hanging="180"/>
      </w:pPr>
    </w:lvl>
    <w:lvl w:ilvl="3" w:tplc="0409000F" w:tentative="1">
      <w:start w:val="1"/>
      <w:numFmt w:val="decimal"/>
      <w:lvlText w:val="%4."/>
      <w:lvlJc w:val="left"/>
      <w:pPr>
        <w:ind w:left="3470" w:hanging="360"/>
      </w:pPr>
    </w:lvl>
    <w:lvl w:ilvl="4" w:tplc="04090019" w:tentative="1">
      <w:start w:val="1"/>
      <w:numFmt w:val="lowerLetter"/>
      <w:lvlText w:val="%5."/>
      <w:lvlJc w:val="left"/>
      <w:pPr>
        <w:ind w:left="4190" w:hanging="360"/>
      </w:pPr>
    </w:lvl>
    <w:lvl w:ilvl="5" w:tplc="0409001B" w:tentative="1">
      <w:start w:val="1"/>
      <w:numFmt w:val="lowerRoman"/>
      <w:lvlText w:val="%6."/>
      <w:lvlJc w:val="right"/>
      <w:pPr>
        <w:ind w:left="4910" w:hanging="180"/>
      </w:pPr>
    </w:lvl>
    <w:lvl w:ilvl="6" w:tplc="0409000F" w:tentative="1">
      <w:start w:val="1"/>
      <w:numFmt w:val="decimal"/>
      <w:lvlText w:val="%7."/>
      <w:lvlJc w:val="left"/>
      <w:pPr>
        <w:ind w:left="5630" w:hanging="360"/>
      </w:pPr>
    </w:lvl>
    <w:lvl w:ilvl="7" w:tplc="04090019" w:tentative="1">
      <w:start w:val="1"/>
      <w:numFmt w:val="lowerLetter"/>
      <w:lvlText w:val="%8."/>
      <w:lvlJc w:val="left"/>
      <w:pPr>
        <w:ind w:left="6350" w:hanging="360"/>
      </w:pPr>
    </w:lvl>
    <w:lvl w:ilvl="8" w:tplc="0409001B" w:tentative="1">
      <w:start w:val="1"/>
      <w:numFmt w:val="lowerRoman"/>
      <w:lvlText w:val="%9."/>
      <w:lvlJc w:val="right"/>
      <w:pPr>
        <w:ind w:left="7070" w:hanging="180"/>
      </w:pPr>
    </w:lvl>
  </w:abstractNum>
  <w:abstractNum w:abstractNumId="14" w15:restartNumberingAfterBreak="0">
    <w:nsid w:val="44BD4BAF"/>
    <w:multiLevelType w:val="hybridMultilevel"/>
    <w:tmpl w:val="76B2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16" w15:restartNumberingAfterBreak="0">
    <w:nsid w:val="6D7A2488"/>
    <w:multiLevelType w:val="hybridMultilevel"/>
    <w:tmpl w:val="615EE5B6"/>
    <w:lvl w:ilvl="0" w:tplc="0409000F">
      <w:start w:val="1"/>
      <w:numFmt w:val="decimal"/>
      <w:lvlText w:val="%1."/>
      <w:lvlJc w:val="left"/>
      <w:pPr>
        <w:ind w:left="1489" w:hanging="360"/>
      </w:pPr>
    </w:lvl>
    <w:lvl w:ilvl="1" w:tplc="04090019" w:tentative="1">
      <w:start w:val="1"/>
      <w:numFmt w:val="lowerLetter"/>
      <w:lvlText w:val="%2."/>
      <w:lvlJc w:val="left"/>
      <w:pPr>
        <w:ind w:left="2209" w:hanging="360"/>
      </w:pPr>
    </w:lvl>
    <w:lvl w:ilvl="2" w:tplc="0409001B" w:tentative="1">
      <w:start w:val="1"/>
      <w:numFmt w:val="lowerRoman"/>
      <w:lvlText w:val="%3."/>
      <w:lvlJc w:val="right"/>
      <w:pPr>
        <w:ind w:left="2929" w:hanging="180"/>
      </w:pPr>
    </w:lvl>
    <w:lvl w:ilvl="3" w:tplc="0409000F" w:tentative="1">
      <w:start w:val="1"/>
      <w:numFmt w:val="decimal"/>
      <w:lvlText w:val="%4."/>
      <w:lvlJc w:val="left"/>
      <w:pPr>
        <w:ind w:left="3649" w:hanging="360"/>
      </w:pPr>
    </w:lvl>
    <w:lvl w:ilvl="4" w:tplc="04090019" w:tentative="1">
      <w:start w:val="1"/>
      <w:numFmt w:val="lowerLetter"/>
      <w:lvlText w:val="%5."/>
      <w:lvlJc w:val="left"/>
      <w:pPr>
        <w:ind w:left="4369" w:hanging="360"/>
      </w:pPr>
    </w:lvl>
    <w:lvl w:ilvl="5" w:tplc="0409001B" w:tentative="1">
      <w:start w:val="1"/>
      <w:numFmt w:val="lowerRoman"/>
      <w:lvlText w:val="%6."/>
      <w:lvlJc w:val="right"/>
      <w:pPr>
        <w:ind w:left="5089" w:hanging="180"/>
      </w:pPr>
    </w:lvl>
    <w:lvl w:ilvl="6" w:tplc="0409000F" w:tentative="1">
      <w:start w:val="1"/>
      <w:numFmt w:val="decimal"/>
      <w:lvlText w:val="%7."/>
      <w:lvlJc w:val="left"/>
      <w:pPr>
        <w:ind w:left="5809" w:hanging="360"/>
      </w:pPr>
    </w:lvl>
    <w:lvl w:ilvl="7" w:tplc="04090019" w:tentative="1">
      <w:start w:val="1"/>
      <w:numFmt w:val="lowerLetter"/>
      <w:lvlText w:val="%8."/>
      <w:lvlJc w:val="left"/>
      <w:pPr>
        <w:ind w:left="6529" w:hanging="360"/>
      </w:pPr>
    </w:lvl>
    <w:lvl w:ilvl="8" w:tplc="0409001B" w:tentative="1">
      <w:start w:val="1"/>
      <w:numFmt w:val="lowerRoman"/>
      <w:lvlText w:val="%9."/>
      <w:lvlJc w:val="right"/>
      <w:pPr>
        <w:ind w:left="7249" w:hanging="180"/>
      </w:pPr>
    </w:lvl>
  </w:abstractNum>
  <w:abstractNum w:abstractNumId="17" w15:restartNumberingAfterBreak="0">
    <w:nsid w:val="7AAF5ACD"/>
    <w:multiLevelType w:val="hybridMultilevel"/>
    <w:tmpl w:val="8D72B91C"/>
    <w:lvl w:ilvl="0" w:tplc="0409000F">
      <w:start w:val="1"/>
      <w:numFmt w:val="decimal"/>
      <w:lvlText w:val="%1."/>
      <w:lvlJc w:val="left"/>
      <w:pPr>
        <w:ind w:left="1027" w:hanging="360"/>
      </w:pPr>
    </w:lvl>
    <w:lvl w:ilvl="1" w:tplc="04090019" w:tentative="1">
      <w:start w:val="1"/>
      <w:numFmt w:val="lowerLetter"/>
      <w:lvlText w:val="%2."/>
      <w:lvlJc w:val="left"/>
      <w:pPr>
        <w:ind w:left="1747" w:hanging="360"/>
      </w:pPr>
    </w:lvl>
    <w:lvl w:ilvl="2" w:tplc="0409001B" w:tentative="1">
      <w:start w:val="1"/>
      <w:numFmt w:val="lowerRoman"/>
      <w:lvlText w:val="%3."/>
      <w:lvlJc w:val="right"/>
      <w:pPr>
        <w:ind w:left="2467" w:hanging="180"/>
      </w:pPr>
    </w:lvl>
    <w:lvl w:ilvl="3" w:tplc="0409000F" w:tentative="1">
      <w:start w:val="1"/>
      <w:numFmt w:val="decimal"/>
      <w:lvlText w:val="%4."/>
      <w:lvlJc w:val="left"/>
      <w:pPr>
        <w:ind w:left="3187" w:hanging="360"/>
      </w:pPr>
    </w:lvl>
    <w:lvl w:ilvl="4" w:tplc="04090019" w:tentative="1">
      <w:start w:val="1"/>
      <w:numFmt w:val="lowerLetter"/>
      <w:lvlText w:val="%5."/>
      <w:lvlJc w:val="left"/>
      <w:pPr>
        <w:ind w:left="3907" w:hanging="360"/>
      </w:pPr>
    </w:lvl>
    <w:lvl w:ilvl="5" w:tplc="0409001B" w:tentative="1">
      <w:start w:val="1"/>
      <w:numFmt w:val="lowerRoman"/>
      <w:lvlText w:val="%6."/>
      <w:lvlJc w:val="right"/>
      <w:pPr>
        <w:ind w:left="4627" w:hanging="180"/>
      </w:pPr>
    </w:lvl>
    <w:lvl w:ilvl="6" w:tplc="0409000F" w:tentative="1">
      <w:start w:val="1"/>
      <w:numFmt w:val="decimal"/>
      <w:lvlText w:val="%7."/>
      <w:lvlJc w:val="left"/>
      <w:pPr>
        <w:ind w:left="5347" w:hanging="360"/>
      </w:pPr>
    </w:lvl>
    <w:lvl w:ilvl="7" w:tplc="04090019" w:tentative="1">
      <w:start w:val="1"/>
      <w:numFmt w:val="lowerLetter"/>
      <w:lvlText w:val="%8."/>
      <w:lvlJc w:val="left"/>
      <w:pPr>
        <w:ind w:left="6067" w:hanging="360"/>
      </w:pPr>
    </w:lvl>
    <w:lvl w:ilvl="8" w:tplc="0409001B" w:tentative="1">
      <w:start w:val="1"/>
      <w:numFmt w:val="lowerRoman"/>
      <w:lvlText w:val="%9."/>
      <w:lvlJc w:val="right"/>
      <w:pPr>
        <w:ind w:left="6787" w:hanging="180"/>
      </w:pPr>
    </w:lvl>
  </w:abstractNum>
  <w:num w:numId="1">
    <w:abstractNumId w:val="15"/>
  </w:num>
  <w:num w:numId="2">
    <w:abstractNumId w:val="5"/>
  </w:num>
  <w:num w:numId="3">
    <w:abstractNumId w:val="8"/>
  </w:num>
  <w:num w:numId="4">
    <w:abstractNumId w:val="7"/>
  </w:num>
  <w:num w:numId="5">
    <w:abstractNumId w:val="13"/>
  </w:num>
  <w:num w:numId="6">
    <w:abstractNumId w:val="2"/>
  </w:num>
  <w:num w:numId="7">
    <w:abstractNumId w:val="10"/>
  </w:num>
  <w:num w:numId="8">
    <w:abstractNumId w:val="0"/>
  </w:num>
  <w:num w:numId="9">
    <w:abstractNumId w:val="16"/>
  </w:num>
  <w:num w:numId="10">
    <w:abstractNumId w:val="1"/>
  </w:num>
  <w:num w:numId="11">
    <w:abstractNumId w:val="17"/>
  </w:num>
  <w:num w:numId="12">
    <w:abstractNumId w:val="6"/>
  </w:num>
  <w:num w:numId="13">
    <w:abstractNumId w:val="14"/>
  </w:num>
  <w:num w:numId="14">
    <w:abstractNumId w:val="12"/>
  </w:num>
  <w:num w:numId="15">
    <w:abstractNumId w:val="11"/>
  </w:num>
  <w:num w:numId="16">
    <w:abstractNumId w:val="9"/>
  </w:num>
  <w:num w:numId="17">
    <w:abstractNumId w:val="3"/>
  </w:num>
  <w:num w:numId="1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DD2"/>
    <w:rsid w:val="00012DD1"/>
    <w:rsid w:val="00013460"/>
    <w:rsid w:val="00013804"/>
    <w:rsid w:val="00013AC9"/>
    <w:rsid w:val="0001747F"/>
    <w:rsid w:val="00017B46"/>
    <w:rsid w:val="00021DF5"/>
    <w:rsid w:val="0002435C"/>
    <w:rsid w:val="00027BB7"/>
    <w:rsid w:val="00032B46"/>
    <w:rsid w:val="00033744"/>
    <w:rsid w:val="0004289C"/>
    <w:rsid w:val="00043AC7"/>
    <w:rsid w:val="00044D19"/>
    <w:rsid w:val="00046D10"/>
    <w:rsid w:val="00051A9B"/>
    <w:rsid w:val="00052045"/>
    <w:rsid w:val="00054810"/>
    <w:rsid w:val="00055376"/>
    <w:rsid w:val="000563FF"/>
    <w:rsid w:val="00060A1D"/>
    <w:rsid w:val="00060C9D"/>
    <w:rsid w:val="000713DA"/>
    <w:rsid w:val="00071EAA"/>
    <w:rsid w:val="0007236F"/>
    <w:rsid w:val="00075A5F"/>
    <w:rsid w:val="00081267"/>
    <w:rsid w:val="00085029"/>
    <w:rsid w:val="00094312"/>
    <w:rsid w:val="000A2A66"/>
    <w:rsid w:val="000A6888"/>
    <w:rsid w:val="000A6BA5"/>
    <w:rsid w:val="000B338B"/>
    <w:rsid w:val="000B3D87"/>
    <w:rsid w:val="000B50EE"/>
    <w:rsid w:val="000B7919"/>
    <w:rsid w:val="000C041B"/>
    <w:rsid w:val="000C070C"/>
    <w:rsid w:val="000C2AB4"/>
    <w:rsid w:val="000D102D"/>
    <w:rsid w:val="000D3662"/>
    <w:rsid w:val="000D591E"/>
    <w:rsid w:val="000D5C74"/>
    <w:rsid w:val="000E0066"/>
    <w:rsid w:val="000E0646"/>
    <w:rsid w:val="000E1D40"/>
    <w:rsid w:val="000E2800"/>
    <w:rsid w:val="000F0E49"/>
    <w:rsid w:val="000F497A"/>
    <w:rsid w:val="000F6615"/>
    <w:rsid w:val="00102AD8"/>
    <w:rsid w:val="00112179"/>
    <w:rsid w:val="00113956"/>
    <w:rsid w:val="001157ED"/>
    <w:rsid w:val="00116035"/>
    <w:rsid w:val="00120AAD"/>
    <w:rsid w:val="001211EA"/>
    <w:rsid w:val="00126E53"/>
    <w:rsid w:val="00134DE4"/>
    <w:rsid w:val="00137F6F"/>
    <w:rsid w:val="00137FF9"/>
    <w:rsid w:val="00142174"/>
    <w:rsid w:val="00143389"/>
    <w:rsid w:val="00143CC4"/>
    <w:rsid w:val="00144622"/>
    <w:rsid w:val="00150D8D"/>
    <w:rsid w:val="0015146D"/>
    <w:rsid w:val="00157D40"/>
    <w:rsid w:val="00162B56"/>
    <w:rsid w:val="00162BE7"/>
    <w:rsid w:val="00163368"/>
    <w:rsid w:val="00167AA7"/>
    <w:rsid w:val="0017006C"/>
    <w:rsid w:val="001717A9"/>
    <w:rsid w:val="00174E20"/>
    <w:rsid w:val="001820A3"/>
    <w:rsid w:val="0018239E"/>
    <w:rsid w:val="00184334"/>
    <w:rsid w:val="00185AC8"/>
    <w:rsid w:val="00190167"/>
    <w:rsid w:val="00191428"/>
    <w:rsid w:val="0019436F"/>
    <w:rsid w:val="001967ED"/>
    <w:rsid w:val="001A25C3"/>
    <w:rsid w:val="001A37C7"/>
    <w:rsid w:val="001A5937"/>
    <w:rsid w:val="001A7887"/>
    <w:rsid w:val="001A7BE8"/>
    <w:rsid w:val="001B380F"/>
    <w:rsid w:val="001B3BE4"/>
    <w:rsid w:val="001B5818"/>
    <w:rsid w:val="001B66A4"/>
    <w:rsid w:val="001B6E6E"/>
    <w:rsid w:val="001C364A"/>
    <w:rsid w:val="001C3F21"/>
    <w:rsid w:val="001C4EEE"/>
    <w:rsid w:val="001D2FA2"/>
    <w:rsid w:val="001D4CFA"/>
    <w:rsid w:val="001D55C5"/>
    <w:rsid w:val="001E4497"/>
    <w:rsid w:val="001F0570"/>
    <w:rsid w:val="001F2097"/>
    <w:rsid w:val="001F3748"/>
    <w:rsid w:val="001F3C79"/>
    <w:rsid w:val="001F61E7"/>
    <w:rsid w:val="002000EB"/>
    <w:rsid w:val="00200223"/>
    <w:rsid w:val="00200442"/>
    <w:rsid w:val="00200516"/>
    <w:rsid w:val="00202015"/>
    <w:rsid w:val="00205100"/>
    <w:rsid w:val="0020794F"/>
    <w:rsid w:val="00215C5C"/>
    <w:rsid w:val="002164C9"/>
    <w:rsid w:val="002170A5"/>
    <w:rsid w:val="00230761"/>
    <w:rsid w:val="00235AB3"/>
    <w:rsid w:val="00236B0E"/>
    <w:rsid w:val="00236E65"/>
    <w:rsid w:val="002372B8"/>
    <w:rsid w:val="00240AC0"/>
    <w:rsid w:val="00244C76"/>
    <w:rsid w:val="002453BD"/>
    <w:rsid w:val="00257353"/>
    <w:rsid w:val="002621EA"/>
    <w:rsid w:val="002668D5"/>
    <w:rsid w:val="00271449"/>
    <w:rsid w:val="002721D2"/>
    <w:rsid w:val="00273D89"/>
    <w:rsid w:val="0027425A"/>
    <w:rsid w:val="0028093A"/>
    <w:rsid w:val="00281C80"/>
    <w:rsid w:val="002950E0"/>
    <w:rsid w:val="002954C4"/>
    <w:rsid w:val="002B07BD"/>
    <w:rsid w:val="002B5444"/>
    <w:rsid w:val="002B547F"/>
    <w:rsid w:val="002C009B"/>
    <w:rsid w:val="002C21E9"/>
    <w:rsid w:val="002C55AD"/>
    <w:rsid w:val="002D1BE7"/>
    <w:rsid w:val="002D247A"/>
    <w:rsid w:val="002D38C5"/>
    <w:rsid w:val="002E151F"/>
    <w:rsid w:val="002E4217"/>
    <w:rsid w:val="002E505B"/>
    <w:rsid w:val="002E6FC8"/>
    <w:rsid w:val="002F30F7"/>
    <w:rsid w:val="002F3DAA"/>
    <w:rsid w:val="002F5F1E"/>
    <w:rsid w:val="002F7FB5"/>
    <w:rsid w:val="00301D7D"/>
    <w:rsid w:val="00302BC8"/>
    <w:rsid w:val="00311D4E"/>
    <w:rsid w:val="003149D4"/>
    <w:rsid w:val="0031555D"/>
    <w:rsid w:val="00315655"/>
    <w:rsid w:val="00315B32"/>
    <w:rsid w:val="00315BDC"/>
    <w:rsid w:val="00315D9E"/>
    <w:rsid w:val="003171CA"/>
    <w:rsid w:val="00324559"/>
    <w:rsid w:val="00327C88"/>
    <w:rsid w:val="00334C0F"/>
    <w:rsid w:val="003358FF"/>
    <w:rsid w:val="00336906"/>
    <w:rsid w:val="00341CFF"/>
    <w:rsid w:val="00347B79"/>
    <w:rsid w:val="003509A8"/>
    <w:rsid w:val="0035146D"/>
    <w:rsid w:val="00354545"/>
    <w:rsid w:val="00354FE5"/>
    <w:rsid w:val="00356B58"/>
    <w:rsid w:val="00357B8B"/>
    <w:rsid w:val="0036135C"/>
    <w:rsid w:val="0036280D"/>
    <w:rsid w:val="00362D0C"/>
    <w:rsid w:val="0036518F"/>
    <w:rsid w:val="00367345"/>
    <w:rsid w:val="0036768D"/>
    <w:rsid w:val="00370B93"/>
    <w:rsid w:val="00374362"/>
    <w:rsid w:val="00377B12"/>
    <w:rsid w:val="00380147"/>
    <w:rsid w:val="00381C7D"/>
    <w:rsid w:val="00385C9B"/>
    <w:rsid w:val="00386C34"/>
    <w:rsid w:val="00386D47"/>
    <w:rsid w:val="003872BA"/>
    <w:rsid w:val="00387D77"/>
    <w:rsid w:val="003922EF"/>
    <w:rsid w:val="00392F5D"/>
    <w:rsid w:val="00394A57"/>
    <w:rsid w:val="00397415"/>
    <w:rsid w:val="003A22A0"/>
    <w:rsid w:val="003A2CB2"/>
    <w:rsid w:val="003A4D1C"/>
    <w:rsid w:val="003A5B99"/>
    <w:rsid w:val="003A6FFB"/>
    <w:rsid w:val="003A7860"/>
    <w:rsid w:val="003B257A"/>
    <w:rsid w:val="003B4341"/>
    <w:rsid w:val="003B7521"/>
    <w:rsid w:val="003C0C4D"/>
    <w:rsid w:val="003C11CC"/>
    <w:rsid w:val="003C2D07"/>
    <w:rsid w:val="003C3DB4"/>
    <w:rsid w:val="003C3EB9"/>
    <w:rsid w:val="003D5E8B"/>
    <w:rsid w:val="003D62FC"/>
    <w:rsid w:val="003E17A1"/>
    <w:rsid w:val="003E3748"/>
    <w:rsid w:val="003E4DA7"/>
    <w:rsid w:val="003F0CB2"/>
    <w:rsid w:val="003F0CD8"/>
    <w:rsid w:val="003F6FFC"/>
    <w:rsid w:val="00402A87"/>
    <w:rsid w:val="00405019"/>
    <w:rsid w:val="00406BA9"/>
    <w:rsid w:val="00407B5E"/>
    <w:rsid w:val="00410C9A"/>
    <w:rsid w:val="00413182"/>
    <w:rsid w:val="00421AB5"/>
    <w:rsid w:val="00424212"/>
    <w:rsid w:val="00424CF9"/>
    <w:rsid w:val="0042528F"/>
    <w:rsid w:val="00427EFD"/>
    <w:rsid w:val="0043208D"/>
    <w:rsid w:val="004333B4"/>
    <w:rsid w:val="00434203"/>
    <w:rsid w:val="00445321"/>
    <w:rsid w:val="00452C3E"/>
    <w:rsid w:val="00452C6C"/>
    <w:rsid w:val="004530C5"/>
    <w:rsid w:val="0045451B"/>
    <w:rsid w:val="00454B4A"/>
    <w:rsid w:val="00462154"/>
    <w:rsid w:val="00464294"/>
    <w:rsid w:val="00470ABF"/>
    <w:rsid w:val="004715E7"/>
    <w:rsid w:val="004735CE"/>
    <w:rsid w:val="00474658"/>
    <w:rsid w:val="0047797E"/>
    <w:rsid w:val="00487F45"/>
    <w:rsid w:val="00492BD7"/>
    <w:rsid w:val="004961C2"/>
    <w:rsid w:val="00497F06"/>
    <w:rsid w:val="004A3757"/>
    <w:rsid w:val="004A5040"/>
    <w:rsid w:val="004B1283"/>
    <w:rsid w:val="004B2814"/>
    <w:rsid w:val="004B42DC"/>
    <w:rsid w:val="004B457D"/>
    <w:rsid w:val="004B5476"/>
    <w:rsid w:val="004C2DF7"/>
    <w:rsid w:val="004C4E86"/>
    <w:rsid w:val="004C6034"/>
    <w:rsid w:val="004D3941"/>
    <w:rsid w:val="004D602A"/>
    <w:rsid w:val="004D7AFE"/>
    <w:rsid w:val="004E1A88"/>
    <w:rsid w:val="004E2421"/>
    <w:rsid w:val="004E4034"/>
    <w:rsid w:val="004E6489"/>
    <w:rsid w:val="004E6662"/>
    <w:rsid w:val="004F568A"/>
    <w:rsid w:val="004F5D30"/>
    <w:rsid w:val="00501790"/>
    <w:rsid w:val="00501A40"/>
    <w:rsid w:val="005020EC"/>
    <w:rsid w:val="00502641"/>
    <w:rsid w:val="0050720D"/>
    <w:rsid w:val="00516555"/>
    <w:rsid w:val="00524CAE"/>
    <w:rsid w:val="005256CF"/>
    <w:rsid w:val="00527611"/>
    <w:rsid w:val="0053274E"/>
    <w:rsid w:val="00542C43"/>
    <w:rsid w:val="00551299"/>
    <w:rsid w:val="005535FB"/>
    <w:rsid w:val="00555DF5"/>
    <w:rsid w:val="00556B41"/>
    <w:rsid w:val="00572006"/>
    <w:rsid w:val="00573E74"/>
    <w:rsid w:val="00575BC5"/>
    <w:rsid w:val="0057790F"/>
    <w:rsid w:val="005805B7"/>
    <w:rsid w:val="00582470"/>
    <w:rsid w:val="00593E4D"/>
    <w:rsid w:val="00594DE5"/>
    <w:rsid w:val="005956E2"/>
    <w:rsid w:val="00595784"/>
    <w:rsid w:val="005A0D85"/>
    <w:rsid w:val="005A12D7"/>
    <w:rsid w:val="005A29D6"/>
    <w:rsid w:val="005A4FA8"/>
    <w:rsid w:val="005B0C92"/>
    <w:rsid w:val="005B0DFC"/>
    <w:rsid w:val="005B26D2"/>
    <w:rsid w:val="005B7E20"/>
    <w:rsid w:val="005C1D42"/>
    <w:rsid w:val="005C412B"/>
    <w:rsid w:val="005C4835"/>
    <w:rsid w:val="005C5A53"/>
    <w:rsid w:val="005C7769"/>
    <w:rsid w:val="005D1D87"/>
    <w:rsid w:val="005D5943"/>
    <w:rsid w:val="005D5F1D"/>
    <w:rsid w:val="005E2225"/>
    <w:rsid w:val="005E37E8"/>
    <w:rsid w:val="005E7398"/>
    <w:rsid w:val="005F0093"/>
    <w:rsid w:val="005F0F53"/>
    <w:rsid w:val="005F584A"/>
    <w:rsid w:val="005F70C8"/>
    <w:rsid w:val="00600F71"/>
    <w:rsid w:val="00604065"/>
    <w:rsid w:val="0060625D"/>
    <w:rsid w:val="00611BAA"/>
    <w:rsid w:val="00612D18"/>
    <w:rsid w:val="006149F1"/>
    <w:rsid w:val="00615BB7"/>
    <w:rsid w:val="00616A16"/>
    <w:rsid w:val="00616F84"/>
    <w:rsid w:val="00616FFE"/>
    <w:rsid w:val="00621954"/>
    <w:rsid w:val="00623361"/>
    <w:rsid w:val="00624BA9"/>
    <w:rsid w:val="0062575C"/>
    <w:rsid w:val="0063008A"/>
    <w:rsid w:val="006338D8"/>
    <w:rsid w:val="006339EB"/>
    <w:rsid w:val="00636E23"/>
    <w:rsid w:val="006429A8"/>
    <w:rsid w:val="006433E9"/>
    <w:rsid w:val="006506A5"/>
    <w:rsid w:val="006559E3"/>
    <w:rsid w:val="006561E6"/>
    <w:rsid w:val="00657577"/>
    <w:rsid w:val="006608B2"/>
    <w:rsid w:val="0066219D"/>
    <w:rsid w:val="006660B2"/>
    <w:rsid w:val="0067056E"/>
    <w:rsid w:val="006722C1"/>
    <w:rsid w:val="00672C38"/>
    <w:rsid w:val="006739CA"/>
    <w:rsid w:val="006756F1"/>
    <w:rsid w:val="006821F1"/>
    <w:rsid w:val="0068226A"/>
    <w:rsid w:val="0068258E"/>
    <w:rsid w:val="006855AC"/>
    <w:rsid w:val="00687241"/>
    <w:rsid w:val="00691790"/>
    <w:rsid w:val="006933C3"/>
    <w:rsid w:val="00693DF8"/>
    <w:rsid w:val="006956E6"/>
    <w:rsid w:val="0069609A"/>
    <w:rsid w:val="00697045"/>
    <w:rsid w:val="006A27BD"/>
    <w:rsid w:val="006A337B"/>
    <w:rsid w:val="006A4E08"/>
    <w:rsid w:val="006A57D6"/>
    <w:rsid w:val="006A58BC"/>
    <w:rsid w:val="006C03AF"/>
    <w:rsid w:val="006C40C7"/>
    <w:rsid w:val="006D3EB7"/>
    <w:rsid w:val="006D5EA6"/>
    <w:rsid w:val="006D7B49"/>
    <w:rsid w:val="006E0A2E"/>
    <w:rsid w:val="006E1269"/>
    <w:rsid w:val="006E248A"/>
    <w:rsid w:val="006E318F"/>
    <w:rsid w:val="006E5F9C"/>
    <w:rsid w:val="006E7D38"/>
    <w:rsid w:val="006F0870"/>
    <w:rsid w:val="006F305D"/>
    <w:rsid w:val="006F39BB"/>
    <w:rsid w:val="006F43CA"/>
    <w:rsid w:val="006F5915"/>
    <w:rsid w:val="006F7EF4"/>
    <w:rsid w:val="00701C03"/>
    <w:rsid w:val="007026DD"/>
    <w:rsid w:val="00702770"/>
    <w:rsid w:val="00703FCE"/>
    <w:rsid w:val="00704E4B"/>
    <w:rsid w:val="00707B68"/>
    <w:rsid w:val="00710873"/>
    <w:rsid w:val="00711BAA"/>
    <w:rsid w:val="007126C4"/>
    <w:rsid w:val="00722FB5"/>
    <w:rsid w:val="007258CF"/>
    <w:rsid w:val="00726992"/>
    <w:rsid w:val="00736AD8"/>
    <w:rsid w:val="00737731"/>
    <w:rsid w:val="00740210"/>
    <w:rsid w:val="007411D5"/>
    <w:rsid w:val="00745692"/>
    <w:rsid w:val="0075472A"/>
    <w:rsid w:val="00756648"/>
    <w:rsid w:val="007610D5"/>
    <w:rsid w:val="007652AA"/>
    <w:rsid w:val="007665E4"/>
    <w:rsid w:val="00772282"/>
    <w:rsid w:val="007724CE"/>
    <w:rsid w:val="00772F5B"/>
    <w:rsid w:val="00776C86"/>
    <w:rsid w:val="00776D62"/>
    <w:rsid w:val="0078001D"/>
    <w:rsid w:val="00780C21"/>
    <w:rsid w:val="00784D77"/>
    <w:rsid w:val="0079167D"/>
    <w:rsid w:val="0079643D"/>
    <w:rsid w:val="007A0931"/>
    <w:rsid w:val="007A4309"/>
    <w:rsid w:val="007A72D5"/>
    <w:rsid w:val="007B1CC2"/>
    <w:rsid w:val="007B627D"/>
    <w:rsid w:val="007B6E7F"/>
    <w:rsid w:val="007C0C58"/>
    <w:rsid w:val="007C2629"/>
    <w:rsid w:val="007C43FD"/>
    <w:rsid w:val="007C4A5B"/>
    <w:rsid w:val="007C53A1"/>
    <w:rsid w:val="007C58BD"/>
    <w:rsid w:val="007C5D4B"/>
    <w:rsid w:val="007C631E"/>
    <w:rsid w:val="007D00B1"/>
    <w:rsid w:val="007D0E36"/>
    <w:rsid w:val="007D552E"/>
    <w:rsid w:val="007E3F69"/>
    <w:rsid w:val="007E7735"/>
    <w:rsid w:val="007F0FCE"/>
    <w:rsid w:val="007F1254"/>
    <w:rsid w:val="007F1374"/>
    <w:rsid w:val="007F26EB"/>
    <w:rsid w:val="007F5DD9"/>
    <w:rsid w:val="00800E62"/>
    <w:rsid w:val="00800EE1"/>
    <w:rsid w:val="0080392A"/>
    <w:rsid w:val="008051FF"/>
    <w:rsid w:val="00811CAE"/>
    <w:rsid w:val="00813AAF"/>
    <w:rsid w:val="00825DC9"/>
    <w:rsid w:val="00830FF9"/>
    <w:rsid w:val="00831DF3"/>
    <w:rsid w:val="008326E7"/>
    <w:rsid w:val="00834831"/>
    <w:rsid w:val="008411BA"/>
    <w:rsid w:val="0084241F"/>
    <w:rsid w:val="0084434E"/>
    <w:rsid w:val="008506B1"/>
    <w:rsid w:val="008510CC"/>
    <w:rsid w:val="00860C47"/>
    <w:rsid w:val="00863417"/>
    <w:rsid w:val="0086343C"/>
    <w:rsid w:val="008634D8"/>
    <w:rsid w:val="008637A4"/>
    <w:rsid w:val="00863D76"/>
    <w:rsid w:val="0086509B"/>
    <w:rsid w:val="0087296A"/>
    <w:rsid w:val="00874221"/>
    <w:rsid w:val="00874D81"/>
    <w:rsid w:val="00876262"/>
    <w:rsid w:val="008768EC"/>
    <w:rsid w:val="00877127"/>
    <w:rsid w:val="0088300A"/>
    <w:rsid w:val="00885AE3"/>
    <w:rsid w:val="00890697"/>
    <w:rsid w:val="00891049"/>
    <w:rsid w:val="00897403"/>
    <w:rsid w:val="008A40C0"/>
    <w:rsid w:val="008A4272"/>
    <w:rsid w:val="008A5923"/>
    <w:rsid w:val="008A6973"/>
    <w:rsid w:val="008B1120"/>
    <w:rsid w:val="008B1AA1"/>
    <w:rsid w:val="008B1BFF"/>
    <w:rsid w:val="008B443B"/>
    <w:rsid w:val="008B4BE6"/>
    <w:rsid w:val="008C180C"/>
    <w:rsid w:val="008C2DD5"/>
    <w:rsid w:val="008C5D33"/>
    <w:rsid w:val="008D77B7"/>
    <w:rsid w:val="008E4248"/>
    <w:rsid w:val="008F12A1"/>
    <w:rsid w:val="008F3624"/>
    <w:rsid w:val="008F5A4E"/>
    <w:rsid w:val="008F718B"/>
    <w:rsid w:val="008F73D1"/>
    <w:rsid w:val="009002CA"/>
    <w:rsid w:val="00903AF9"/>
    <w:rsid w:val="0090579F"/>
    <w:rsid w:val="009143C9"/>
    <w:rsid w:val="0091540E"/>
    <w:rsid w:val="0091586B"/>
    <w:rsid w:val="00915A40"/>
    <w:rsid w:val="00917F09"/>
    <w:rsid w:val="009201C9"/>
    <w:rsid w:val="00930424"/>
    <w:rsid w:val="0093190D"/>
    <w:rsid w:val="009374A2"/>
    <w:rsid w:val="00942BCB"/>
    <w:rsid w:val="00942F03"/>
    <w:rsid w:val="00945200"/>
    <w:rsid w:val="0095157B"/>
    <w:rsid w:val="00953155"/>
    <w:rsid w:val="009557CC"/>
    <w:rsid w:val="00957ED4"/>
    <w:rsid w:val="00961B81"/>
    <w:rsid w:val="00962ED5"/>
    <w:rsid w:val="00963709"/>
    <w:rsid w:val="009646C8"/>
    <w:rsid w:val="009651E3"/>
    <w:rsid w:val="00965C07"/>
    <w:rsid w:val="00971561"/>
    <w:rsid w:val="009761DA"/>
    <w:rsid w:val="00976847"/>
    <w:rsid w:val="009777D4"/>
    <w:rsid w:val="00980567"/>
    <w:rsid w:val="0098106F"/>
    <w:rsid w:val="009858FE"/>
    <w:rsid w:val="009860EA"/>
    <w:rsid w:val="00990719"/>
    <w:rsid w:val="0099197C"/>
    <w:rsid w:val="0099315C"/>
    <w:rsid w:val="00993855"/>
    <w:rsid w:val="0099464F"/>
    <w:rsid w:val="009A46B7"/>
    <w:rsid w:val="009B27B9"/>
    <w:rsid w:val="009C02E5"/>
    <w:rsid w:val="009C0E0E"/>
    <w:rsid w:val="009C26E3"/>
    <w:rsid w:val="009C6DD1"/>
    <w:rsid w:val="009C7CD6"/>
    <w:rsid w:val="009D2789"/>
    <w:rsid w:val="009D4C0F"/>
    <w:rsid w:val="009D5D51"/>
    <w:rsid w:val="009D790C"/>
    <w:rsid w:val="009D7C44"/>
    <w:rsid w:val="009E54E2"/>
    <w:rsid w:val="009E7B86"/>
    <w:rsid w:val="009F366D"/>
    <w:rsid w:val="009F45EC"/>
    <w:rsid w:val="00A02A31"/>
    <w:rsid w:val="00A03FCE"/>
    <w:rsid w:val="00A06362"/>
    <w:rsid w:val="00A11A11"/>
    <w:rsid w:val="00A13D8B"/>
    <w:rsid w:val="00A13FF6"/>
    <w:rsid w:val="00A2013B"/>
    <w:rsid w:val="00A2390C"/>
    <w:rsid w:val="00A244A2"/>
    <w:rsid w:val="00A24A81"/>
    <w:rsid w:val="00A27FC7"/>
    <w:rsid w:val="00A3311F"/>
    <w:rsid w:val="00A33E58"/>
    <w:rsid w:val="00A34443"/>
    <w:rsid w:val="00A345F7"/>
    <w:rsid w:val="00A37546"/>
    <w:rsid w:val="00A3789F"/>
    <w:rsid w:val="00A404F7"/>
    <w:rsid w:val="00A42581"/>
    <w:rsid w:val="00A51447"/>
    <w:rsid w:val="00A53F34"/>
    <w:rsid w:val="00A540EB"/>
    <w:rsid w:val="00A5539A"/>
    <w:rsid w:val="00A60B97"/>
    <w:rsid w:val="00A648CB"/>
    <w:rsid w:val="00A679A5"/>
    <w:rsid w:val="00A71E51"/>
    <w:rsid w:val="00A72FAC"/>
    <w:rsid w:val="00A764E4"/>
    <w:rsid w:val="00A77F56"/>
    <w:rsid w:val="00A867D5"/>
    <w:rsid w:val="00A92B18"/>
    <w:rsid w:val="00A954D1"/>
    <w:rsid w:val="00A95A2D"/>
    <w:rsid w:val="00A95BD3"/>
    <w:rsid w:val="00AA29B0"/>
    <w:rsid w:val="00AA34B1"/>
    <w:rsid w:val="00AA719D"/>
    <w:rsid w:val="00AB06B2"/>
    <w:rsid w:val="00AB1C3D"/>
    <w:rsid w:val="00AB29A8"/>
    <w:rsid w:val="00AB6082"/>
    <w:rsid w:val="00AB776F"/>
    <w:rsid w:val="00AB7D22"/>
    <w:rsid w:val="00AB7E91"/>
    <w:rsid w:val="00AC22A5"/>
    <w:rsid w:val="00AC2670"/>
    <w:rsid w:val="00AC2E72"/>
    <w:rsid w:val="00AC45D9"/>
    <w:rsid w:val="00AD3F72"/>
    <w:rsid w:val="00AE1C50"/>
    <w:rsid w:val="00AE1F78"/>
    <w:rsid w:val="00AE564F"/>
    <w:rsid w:val="00AE74DE"/>
    <w:rsid w:val="00AF0511"/>
    <w:rsid w:val="00AF23AF"/>
    <w:rsid w:val="00AF372B"/>
    <w:rsid w:val="00AF4E3A"/>
    <w:rsid w:val="00AF6A53"/>
    <w:rsid w:val="00B00257"/>
    <w:rsid w:val="00B039D7"/>
    <w:rsid w:val="00B07F61"/>
    <w:rsid w:val="00B11EFC"/>
    <w:rsid w:val="00B15210"/>
    <w:rsid w:val="00B1623B"/>
    <w:rsid w:val="00B17419"/>
    <w:rsid w:val="00B2363A"/>
    <w:rsid w:val="00B24403"/>
    <w:rsid w:val="00B25206"/>
    <w:rsid w:val="00B32239"/>
    <w:rsid w:val="00B42DDB"/>
    <w:rsid w:val="00B45D75"/>
    <w:rsid w:val="00B472D0"/>
    <w:rsid w:val="00B6145A"/>
    <w:rsid w:val="00B61570"/>
    <w:rsid w:val="00B657A2"/>
    <w:rsid w:val="00B6585E"/>
    <w:rsid w:val="00B667D1"/>
    <w:rsid w:val="00B72578"/>
    <w:rsid w:val="00B7311A"/>
    <w:rsid w:val="00B744FB"/>
    <w:rsid w:val="00B74B51"/>
    <w:rsid w:val="00B77DA8"/>
    <w:rsid w:val="00B84A8E"/>
    <w:rsid w:val="00B85252"/>
    <w:rsid w:val="00B92D67"/>
    <w:rsid w:val="00B93D10"/>
    <w:rsid w:val="00B943FD"/>
    <w:rsid w:val="00B952D8"/>
    <w:rsid w:val="00B9615A"/>
    <w:rsid w:val="00BA1CBE"/>
    <w:rsid w:val="00BA2708"/>
    <w:rsid w:val="00BA3831"/>
    <w:rsid w:val="00BA500B"/>
    <w:rsid w:val="00BA52E8"/>
    <w:rsid w:val="00BA5B5B"/>
    <w:rsid w:val="00BB008B"/>
    <w:rsid w:val="00BB0093"/>
    <w:rsid w:val="00BB1408"/>
    <w:rsid w:val="00BB2181"/>
    <w:rsid w:val="00BB2FCB"/>
    <w:rsid w:val="00BB3C82"/>
    <w:rsid w:val="00BB49BC"/>
    <w:rsid w:val="00BB57F6"/>
    <w:rsid w:val="00BC2684"/>
    <w:rsid w:val="00BC2845"/>
    <w:rsid w:val="00BC35AA"/>
    <w:rsid w:val="00BC4DFF"/>
    <w:rsid w:val="00BC5BB3"/>
    <w:rsid w:val="00BD2345"/>
    <w:rsid w:val="00BD2F0F"/>
    <w:rsid w:val="00BD53BD"/>
    <w:rsid w:val="00BD5DEF"/>
    <w:rsid w:val="00BE18D7"/>
    <w:rsid w:val="00BE4802"/>
    <w:rsid w:val="00BE6449"/>
    <w:rsid w:val="00BF170E"/>
    <w:rsid w:val="00BF43D2"/>
    <w:rsid w:val="00BF509C"/>
    <w:rsid w:val="00BF711B"/>
    <w:rsid w:val="00BF7CF6"/>
    <w:rsid w:val="00C069DB"/>
    <w:rsid w:val="00C119D6"/>
    <w:rsid w:val="00C141D0"/>
    <w:rsid w:val="00C1721B"/>
    <w:rsid w:val="00C20F98"/>
    <w:rsid w:val="00C21F77"/>
    <w:rsid w:val="00C249C9"/>
    <w:rsid w:val="00C27BEF"/>
    <w:rsid w:val="00C304BD"/>
    <w:rsid w:val="00C32A74"/>
    <w:rsid w:val="00C334E2"/>
    <w:rsid w:val="00C33BEA"/>
    <w:rsid w:val="00C34203"/>
    <w:rsid w:val="00C36F53"/>
    <w:rsid w:val="00C424F1"/>
    <w:rsid w:val="00C4424F"/>
    <w:rsid w:val="00C445CC"/>
    <w:rsid w:val="00C4599F"/>
    <w:rsid w:val="00C45F82"/>
    <w:rsid w:val="00C475F7"/>
    <w:rsid w:val="00C53E01"/>
    <w:rsid w:val="00C62EF5"/>
    <w:rsid w:val="00C77C32"/>
    <w:rsid w:val="00C81CDA"/>
    <w:rsid w:val="00C83148"/>
    <w:rsid w:val="00C846A9"/>
    <w:rsid w:val="00C87B56"/>
    <w:rsid w:val="00C90DE3"/>
    <w:rsid w:val="00C965B8"/>
    <w:rsid w:val="00C97610"/>
    <w:rsid w:val="00CA0C26"/>
    <w:rsid w:val="00CA2822"/>
    <w:rsid w:val="00CB128D"/>
    <w:rsid w:val="00CB6841"/>
    <w:rsid w:val="00CB6C14"/>
    <w:rsid w:val="00CC7AC8"/>
    <w:rsid w:val="00CD0459"/>
    <w:rsid w:val="00CD1F68"/>
    <w:rsid w:val="00CD3E6A"/>
    <w:rsid w:val="00CD64DD"/>
    <w:rsid w:val="00CE1C4A"/>
    <w:rsid w:val="00CE1D30"/>
    <w:rsid w:val="00CE208A"/>
    <w:rsid w:val="00CE224F"/>
    <w:rsid w:val="00CE328D"/>
    <w:rsid w:val="00CE79B1"/>
    <w:rsid w:val="00CF1BF6"/>
    <w:rsid w:val="00CF28A4"/>
    <w:rsid w:val="00CF6CCE"/>
    <w:rsid w:val="00CF6EAA"/>
    <w:rsid w:val="00D00C36"/>
    <w:rsid w:val="00D0145D"/>
    <w:rsid w:val="00D02424"/>
    <w:rsid w:val="00D0376D"/>
    <w:rsid w:val="00D07A16"/>
    <w:rsid w:val="00D12DE0"/>
    <w:rsid w:val="00D14528"/>
    <w:rsid w:val="00D14E81"/>
    <w:rsid w:val="00D1647F"/>
    <w:rsid w:val="00D16C96"/>
    <w:rsid w:val="00D20F95"/>
    <w:rsid w:val="00D23D60"/>
    <w:rsid w:val="00D27D10"/>
    <w:rsid w:val="00D34EA1"/>
    <w:rsid w:val="00D35DE8"/>
    <w:rsid w:val="00D3779C"/>
    <w:rsid w:val="00D37DCA"/>
    <w:rsid w:val="00D45EA5"/>
    <w:rsid w:val="00D54373"/>
    <w:rsid w:val="00D62225"/>
    <w:rsid w:val="00D65D20"/>
    <w:rsid w:val="00D65E4B"/>
    <w:rsid w:val="00D67334"/>
    <w:rsid w:val="00D70109"/>
    <w:rsid w:val="00D745DA"/>
    <w:rsid w:val="00D77DA5"/>
    <w:rsid w:val="00D80631"/>
    <w:rsid w:val="00D80746"/>
    <w:rsid w:val="00D830AB"/>
    <w:rsid w:val="00D84420"/>
    <w:rsid w:val="00D85438"/>
    <w:rsid w:val="00D8732D"/>
    <w:rsid w:val="00D927DB"/>
    <w:rsid w:val="00DA0D76"/>
    <w:rsid w:val="00DA1274"/>
    <w:rsid w:val="00DA133C"/>
    <w:rsid w:val="00DA2B1D"/>
    <w:rsid w:val="00DA30A3"/>
    <w:rsid w:val="00DA526D"/>
    <w:rsid w:val="00DB252A"/>
    <w:rsid w:val="00DB7EE7"/>
    <w:rsid w:val="00DC028D"/>
    <w:rsid w:val="00DC0474"/>
    <w:rsid w:val="00DC1714"/>
    <w:rsid w:val="00DC203C"/>
    <w:rsid w:val="00DC2114"/>
    <w:rsid w:val="00DC3E82"/>
    <w:rsid w:val="00DC529B"/>
    <w:rsid w:val="00DC64BD"/>
    <w:rsid w:val="00DD563C"/>
    <w:rsid w:val="00DE06EE"/>
    <w:rsid w:val="00DE4FC1"/>
    <w:rsid w:val="00DE69DF"/>
    <w:rsid w:val="00DF0141"/>
    <w:rsid w:val="00DF0807"/>
    <w:rsid w:val="00DF513B"/>
    <w:rsid w:val="00DF71E8"/>
    <w:rsid w:val="00DF7B04"/>
    <w:rsid w:val="00E0352C"/>
    <w:rsid w:val="00E07652"/>
    <w:rsid w:val="00E07BB2"/>
    <w:rsid w:val="00E11E1A"/>
    <w:rsid w:val="00E12C95"/>
    <w:rsid w:val="00E14566"/>
    <w:rsid w:val="00E14911"/>
    <w:rsid w:val="00E22660"/>
    <w:rsid w:val="00E232E0"/>
    <w:rsid w:val="00E23A5B"/>
    <w:rsid w:val="00E244BF"/>
    <w:rsid w:val="00E273C8"/>
    <w:rsid w:val="00E3030C"/>
    <w:rsid w:val="00E32EAF"/>
    <w:rsid w:val="00E33DC3"/>
    <w:rsid w:val="00E34BF8"/>
    <w:rsid w:val="00E4146D"/>
    <w:rsid w:val="00E43533"/>
    <w:rsid w:val="00E437AA"/>
    <w:rsid w:val="00E44C69"/>
    <w:rsid w:val="00E44F7F"/>
    <w:rsid w:val="00E450F0"/>
    <w:rsid w:val="00E50CC8"/>
    <w:rsid w:val="00E51FE8"/>
    <w:rsid w:val="00E5244F"/>
    <w:rsid w:val="00E53722"/>
    <w:rsid w:val="00E54580"/>
    <w:rsid w:val="00E55E57"/>
    <w:rsid w:val="00E56249"/>
    <w:rsid w:val="00E57F0F"/>
    <w:rsid w:val="00E61CF9"/>
    <w:rsid w:val="00E67ACE"/>
    <w:rsid w:val="00E67BA7"/>
    <w:rsid w:val="00E70734"/>
    <w:rsid w:val="00E757FD"/>
    <w:rsid w:val="00E829DB"/>
    <w:rsid w:val="00E84140"/>
    <w:rsid w:val="00E93D69"/>
    <w:rsid w:val="00E94FA8"/>
    <w:rsid w:val="00EA280C"/>
    <w:rsid w:val="00EA7F63"/>
    <w:rsid w:val="00EB1CDC"/>
    <w:rsid w:val="00EB4FD7"/>
    <w:rsid w:val="00EC3B1E"/>
    <w:rsid w:val="00EC44F4"/>
    <w:rsid w:val="00EC564B"/>
    <w:rsid w:val="00EC6F58"/>
    <w:rsid w:val="00ED4634"/>
    <w:rsid w:val="00ED7CB3"/>
    <w:rsid w:val="00EE1123"/>
    <w:rsid w:val="00EE1706"/>
    <w:rsid w:val="00EE3575"/>
    <w:rsid w:val="00EE3A4F"/>
    <w:rsid w:val="00EF0C91"/>
    <w:rsid w:val="00EF2660"/>
    <w:rsid w:val="00EF26A2"/>
    <w:rsid w:val="00EF4BED"/>
    <w:rsid w:val="00EF7E8F"/>
    <w:rsid w:val="00F02C95"/>
    <w:rsid w:val="00F06892"/>
    <w:rsid w:val="00F06A83"/>
    <w:rsid w:val="00F11712"/>
    <w:rsid w:val="00F1668A"/>
    <w:rsid w:val="00F17561"/>
    <w:rsid w:val="00F261B1"/>
    <w:rsid w:val="00F269DE"/>
    <w:rsid w:val="00F26A4B"/>
    <w:rsid w:val="00F31636"/>
    <w:rsid w:val="00F376E3"/>
    <w:rsid w:val="00F37ED4"/>
    <w:rsid w:val="00F40A46"/>
    <w:rsid w:val="00F41D12"/>
    <w:rsid w:val="00F426D8"/>
    <w:rsid w:val="00F45235"/>
    <w:rsid w:val="00F50B3C"/>
    <w:rsid w:val="00F544A2"/>
    <w:rsid w:val="00F5592A"/>
    <w:rsid w:val="00F55EF7"/>
    <w:rsid w:val="00F57E9D"/>
    <w:rsid w:val="00F62E76"/>
    <w:rsid w:val="00F63981"/>
    <w:rsid w:val="00F66E1A"/>
    <w:rsid w:val="00F71EBB"/>
    <w:rsid w:val="00F721F0"/>
    <w:rsid w:val="00F722C6"/>
    <w:rsid w:val="00F726CF"/>
    <w:rsid w:val="00F728DA"/>
    <w:rsid w:val="00F7702E"/>
    <w:rsid w:val="00F8554D"/>
    <w:rsid w:val="00F856C3"/>
    <w:rsid w:val="00F85D69"/>
    <w:rsid w:val="00F91404"/>
    <w:rsid w:val="00F94184"/>
    <w:rsid w:val="00F951A5"/>
    <w:rsid w:val="00FA7C72"/>
    <w:rsid w:val="00FB4E60"/>
    <w:rsid w:val="00FB5C33"/>
    <w:rsid w:val="00FC12E7"/>
    <w:rsid w:val="00FC2646"/>
    <w:rsid w:val="00FC4ACC"/>
    <w:rsid w:val="00FD0892"/>
    <w:rsid w:val="00FD1879"/>
    <w:rsid w:val="00FD6782"/>
    <w:rsid w:val="00FE4C5B"/>
    <w:rsid w:val="00FE5CF7"/>
    <w:rsid w:val="00FF3986"/>
    <w:rsid w:val="00FF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1714"/>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1">
    <w:name w:val="TOC Heading"/>
    <w:uiPriority w:val="39"/>
    <w:unhideWhenUsed/>
  </w:style>
  <w:style w:type="paragraph" w:styleId="af2">
    <w:name w:val="table of figures"/>
    <w:basedOn w:val="a"/>
    <w:next w:val="a"/>
    <w:uiPriority w:val="99"/>
    <w:unhideWhenUsed/>
  </w:style>
  <w:style w:type="paragraph" w:styleId="af3">
    <w:name w:val="Balloon Text"/>
    <w:basedOn w:val="a"/>
    <w:link w:val="af4"/>
    <w:uiPriority w:val="99"/>
    <w:rPr>
      <w:rFonts w:ascii="Tahoma" w:hAnsi="Tahoma"/>
      <w:sz w:val="16"/>
      <w:szCs w:val="16"/>
    </w:rPr>
  </w:style>
  <w:style w:type="character" w:customStyle="1" w:styleId="af4">
    <w:name w:val="Текст выноски Знак"/>
    <w:link w:val="af3"/>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5">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6">
    <w:name w:val="header"/>
    <w:basedOn w:val="a"/>
    <w:link w:val="af7"/>
    <w:pPr>
      <w:tabs>
        <w:tab w:val="center" w:pos="4677"/>
        <w:tab w:val="right" w:pos="9355"/>
      </w:tabs>
    </w:pPr>
  </w:style>
  <w:style w:type="character" w:customStyle="1" w:styleId="af7">
    <w:name w:val="Верхний колонтитул Знак"/>
    <w:link w:val="af6"/>
    <w:uiPriority w:val="99"/>
    <w:rPr>
      <w:lang w:val="en-US" w:eastAsia="en-US"/>
    </w:rPr>
  </w:style>
  <w:style w:type="paragraph" w:styleId="af8">
    <w:name w:val="footer"/>
    <w:basedOn w:val="a"/>
    <w:link w:val="af9"/>
    <w:pPr>
      <w:tabs>
        <w:tab w:val="center" w:pos="4677"/>
        <w:tab w:val="right" w:pos="9355"/>
      </w:tabs>
    </w:pPr>
  </w:style>
  <w:style w:type="character" w:customStyle="1" w:styleId="af9">
    <w:name w:val="Нижний колонтитул Знак"/>
    <w:link w:val="af8"/>
    <w:uiPriority w:val="99"/>
    <w:rPr>
      <w:lang w:val="en-US" w:eastAsia="en-US"/>
    </w:rPr>
  </w:style>
  <w:style w:type="table" w:styleId="afa">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a"/>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List Paragraph"/>
    <w:basedOn w:val="a"/>
    <w:uiPriority w:val="34"/>
    <w:qFormat/>
    <w:pPr>
      <w:ind w:left="720"/>
      <w:contextualSpacing/>
    </w:pPr>
  </w:style>
  <w:style w:type="numbering" w:customStyle="1" w:styleId="FrListare1">
    <w:name w:val="Fără Listare1"/>
    <w:next w:val="a2"/>
    <w:semiHidden/>
  </w:style>
  <w:style w:type="character" w:styleId="afc">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d">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a"/>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e">
    <w:name w:val="annotation reference"/>
    <w:uiPriority w:val="99"/>
    <w:rPr>
      <w:sz w:val="16"/>
      <w:szCs w:val="16"/>
    </w:rPr>
  </w:style>
  <w:style w:type="paragraph" w:styleId="aff">
    <w:name w:val="annotation text"/>
    <w:basedOn w:val="a"/>
    <w:link w:val="aff0"/>
    <w:uiPriority w:val="99"/>
    <w:pPr>
      <w:ind w:firstLine="0"/>
      <w:jc w:val="left"/>
    </w:pPr>
    <w:rPr>
      <w:lang w:val="ro-RO" w:eastAsia="ru-RU"/>
    </w:rPr>
  </w:style>
  <w:style w:type="character" w:customStyle="1" w:styleId="aff0">
    <w:name w:val="Текст примечания Знак"/>
    <w:basedOn w:val="a0"/>
    <w:link w:val="aff"/>
    <w:uiPriority w:val="99"/>
    <w:rPr>
      <w:lang w:val="ro-RO"/>
    </w:rPr>
  </w:style>
  <w:style w:type="paragraph" w:styleId="aff1">
    <w:name w:val="annotation subject"/>
    <w:basedOn w:val="aff"/>
    <w:next w:val="aff"/>
    <w:link w:val="aff2"/>
    <w:uiPriority w:val="99"/>
    <w:rPr>
      <w:b/>
      <w:bCs/>
    </w:rPr>
  </w:style>
  <w:style w:type="character" w:customStyle="1" w:styleId="aff2">
    <w:name w:val="Тема примечания Знак"/>
    <w:basedOn w:val="aff0"/>
    <w:link w:val="aff1"/>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3">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4">
    <w:name w:val="Placeholder Text"/>
    <w:basedOn w:val="a0"/>
    <w:uiPriority w:val="99"/>
    <w:semiHidden/>
    <w:rsid w:val="001C3F21"/>
    <w:rPr>
      <w:color w:val="808080"/>
    </w:rPr>
  </w:style>
  <w:style w:type="paragraph" w:styleId="aff5">
    <w:name w:val="Revision"/>
    <w:hidden/>
    <w:uiPriority w:val="99"/>
    <w:semiHidden/>
    <w:rsid w:val="007D0E36"/>
    <w:pPr>
      <w:ind w:firstLine="0"/>
      <w:jc w:val="left"/>
    </w:pPr>
    <w:rPr>
      <w:lang w:val="en-US" w:eastAsia="en-US"/>
    </w:rPr>
  </w:style>
  <w:style w:type="character" w:customStyle="1" w:styleId="UnresolvedMention">
    <w:name w:val="Unresolved Mention"/>
    <w:basedOn w:val="a0"/>
    <w:uiPriority w:val="99"/>
    <w:semiHidden/>
    <w:unhideWhenUsed/>
    <w:rsid w:val="00572006"/>
    <w:rPr>
      <w:color w:val="605E5C"/>
      <w:shd w:val="clear" w:color="auto" w:fill="E1DFDD"/>
    </w:rPr>
  </w:style>
  <w:style w:type="paragraph" w:customStyle="1" w:styleId="TableParagraph">
    <w:name w:val="Table Paragraph"/>
    <w:basedOn w:val="a"/>
    <w:uiPriority w:val="1"/>
    <w:qFormat/>
    <w:rsid w:val="00776D62"/>
    <w:pPr>
      <w:autoSpaceDE w:val="0"/>
      <w:autoSpaceDN w:val="0"/>
      <w:adjustRightInd w:val="0"/>
      <w:ind w:firstLine="0"/>
      <w:jc w:val="lef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396288">
      <w:bodyDiv w:val="1"/>
      <w:marLeft w:val="0"/>
      <w:marRight w:val="0"/>
      <w:marTop w:val="0"/>
      <w:marBottom w:val="0"/>
      <w:divBdr>
        <w:top w:val="none" w:sz="0" w:space="0" w:color="auto"/>
        <w:left w:val="none" w:sz="0" w:space="0" w:color="auto"/>
        <w:bottom w:val="none" w:sz="0" w:space="0" w:color="auto"/>
        <w:right w:val="none" w:sz="0" w:space="0" w:color="auto"/>
      </w:divBdr>
    </w:div>
    <w:div w:id="140359707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C79BC8CC-AE62-4674-AE64-86097819E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3414</TotalTime>
  <Pages>5</Pages>
  <Words>2255</Words>
  <Characters>12854</Characters>
  <Application>Microsoft Office Word</Application>
  <DocSecurity>0</DocSecurity>
  <Lines>107</Lines>
  <Paragraphs>30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Veaceslav Turcanu</cp:lastModifiedBy>
  <cp:revision>257</cp:revision>
  <cp:lastPrinted>2025-11-05T13:05:00Z</cp:lastPrinted>
  <dcterms:created xsi:type="dcterms:W3CDTF">2024-03-25T08:15:00Z</dcterms:created>
  <dcterms:modified xsi:type="dcterms:W3CDTF">2026-01-22T11:28:00Z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